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36DA" w14:textId="77777777" w:rsidR="00432796" w:rsidRDefault="00432796">
      <w:pPr>
        <w:pStyle w:val="Bass-Nr"/>
      </w:pPr>
      <w:r>
        <w:t>14-15 Nr. 1</w:t>
      </w:r>
    </w:p>
    <w:p w14:paraId="77DF364A" w14:textId="77777777" w:rsidR="00432796" w:rsidRDefault="00432796">
      <w:pPr>
        <w:pStyle w:val="RVueberschrift1100fz"/>
      </w:pPr>
      <w:bookmarkStart w:id="0" w:name="14-15nr1"/>
      <w:bookmarkEnd w:id="0"/>
      <w:r>
        <w:t>Unterst</w:t>
      </w:r>
      <w:r>
        <w:t>ü</w:t>
      </w:r>
      <w:r>
        <w:t xml:space="preserve">tzung </w:t>
      </w:r>
      <w:r>
        <w:br/>
        <w:t xml:space="preserve">von </w:t>
      </w:r>
      <w:r>
        <w:br/>
        <w:t>Sch</w:t>
      </w:r>
      <w:r>
        <w:t>ü</w:t>
      </w:r>
      <w:r>
        <w:t>lerwettbewerben und Sch</w:t>
      </w:r>
      <w:r>
        <w:t>ü</w:t>
      </w:r>
      <w:r>
        <w:t>lerakademien</w:t>
      </w:r>
    </w:p>
    <w:p w14:paraId="4932A0B4" w14:textId="77777777" w:rsidR="00432796" w:rsidRDefault="00432796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  <w:t>v. 19.05.2018 (ABl. NRW. 06/18 S. 44)</w:t>
      </w:r>
    </w:p>
    <w:p w14:paraId="364C01EB" w14:textId="77777777" w:rsidR="00432796" w:rsidRDefault="00432796">
      <w:pPr>
        <w:pStyle w:val="RVfliesstext175nb"/>
      </w:pPr>
      <w:r>
        <w:t>Sch</w:t>
      </w:r>
      <w:r>
        <w:t>ü</w:t>
      </w:r>
      <w:r>
        <w:t>lerwettbewerbe und Sch</w:t>
      </w:r>
      <w:r>
        <w:t>ü</w:t>
      </w:r>
      <w:r>
        <w:t>lerakademien sind besonders geeignet, Kinder und Jugendliche zur intensiven Besch</w:t>
      </w:r>
      <w:r>
        <w:t>ä</w:t>
      </w:r>
      <w:r>
        <w:t>ftigung mit neuen Fragestellungen und Inhalten anzuregen, Talente zu wecken, zu f</w:t>
      </w:r>
      <w:r>
        <w:t>ö</w:t>
      </w:r>
      <w:r>
        <w:t>rdern und zu fordern. Sie unterst</w:t>
      </w:r>
      <w:r>
        <w:t>ü</w:t>
      </w:r>
      <w:r>
        <w:t>tzen Sch</w:t>
      </w:r>
      <w:r>
        <w:t>ü</w:t>
      </w:r>
      <w:r>
        <w:t>lerinnen und Sch</w:t>
      </w:r>
      <w:r>
        <w:t>ü</w:t>
      </w:r>
      <w:r>
        <w:t>ler bei der Entwicklung selbstst</w:t>
      </w:r>
      <w:r>
        <w:t>ä</w:t>
      </w:r>
      <w:r>
        <w:t>ndiger, kreativer und kooperativer Arbeitsformen.</w:t>
      </w:r>
    </w:p>
    <w:p w14:paraId="1CF256C3" w14:textId="77777777" w:rsidR="00432796" w:rsidRDefault="00432796">
      <w:pPr>
        <w:pStyle w:val="RVfliesstext175nb"/>
      </w:pPr>
      <w:r>
        <w:t>Sch</w:t>
      </w:r>
      <w:r>
        <w:t>ü</w:t>
      </w:r>
      <w:r>
        <w:t>lerwettbewerbe und Sch</w:t>
      </w:r>
      <w:r>
        <w:t>ü</w:t>
      </w:r>
      <w:r>
        <w:t>lerakademien sind fester Bestandteil des nordrhein-westf</w:t>
      </w:r>
      <w:r>
        <w:t>ä</w:t>
      </w:r>
      <w:r>
        <w:t>lischen Konzeptes zur F</w:t>
      </w:r>
      <w:r>
        <w:t>ö</w:t>
      </w:r>
      <w:r>
        <w:t>rderung interessierter und begabter Sch</w:t>
      </w:r>
      <w:r>
        <w:t>ü</w:t>
      </w:r>
      <w:r>
        <w:t>lerinnen und Sch</w:t>
      </w:r>
      <w:r>
        <w:t>ü</w:t>
      </w:r>
      <w:r>
        <w:t>ler. Erkenntnisse und Erfahrungen, die im Rahmen von Sch</w:t>
      </w:r>
      <w:r>
        <w:t>ü</w:t>
      </w:r>
      <w:r>
        <w:t>lerwettbewerben und Sch</w:t>
      </w:r>
      <w:r>
        <w:t>ü</w:t>
      </w:r>
      <w:r>
        <w:t>lerakademien gewonnen und in die schulische Arbeit einbezogen werden, tragen wesentlich zur Weiterentwicklung der Qualit</w:t>
      </w:r>
      <w:r>
        <w:t>ä</w:t>
      </w:r>
      <w:r>
        <w:t>t des Fachunterrichts bei.</w:t>
      </w:r>
    </w:p>
    <w:p w14:paraId="17F727C5" w14:textId="77777777" w:rsidR="00432796" w:rsidRDefault="00432796">
      <w:pPr>
        <w:pStyle w:val="RVfliesstext175nb"/>
      </w:pPr>
      <w:r>
        <w:t>Daher sind die Durchf</w:t>
      </w:r>
      <w:r>
        <w:t>ü</w:t>
      </w:r>
      <w:r>
        <w:t xml:space="preserve">hrung von </w:t>
      </w:r>
      <w:r>
        <w:t>ü</w:t>
      </w:r>
      <w:r>
        <w:t>berregionalen und schulinternen Sch</w:t>
      </w:r>
      <w:r>
        <w:t>ü</w:t>
      </w:r>
      <w:r>
        <w:t>lerwettbewerben und die Durchf</w:t>
      </w:r>
      <w:r>
        <w:t>ü</w:t>
      </w:r>
      <w:r>
        <w:t>hrung von regionalen und landesweiten Sch</w:t>
      </w:r>
      <w:r>
        <w:t>ü</w:t>
      </w:r>
      <w:r>
        <w:t>lerakademien sowie die Teilnahme m</w:t>
      </w:r>
      <w:r>
        <w:t>ö</w:t>
      </w:r>
      <w:r>
        <w:t>glichst vieler Sch</w:t>
      </w:r>
      <w:r>
        <w:t>ü</w:t>
      </w:r>
      <w:r>
        <w:t>lerinnen und Sch</w:t>
      </w:r>
      <w:r>
        <w:t>ü</w:t>
      </w:r>
      <w:r>
        <w:t>ler an solchen Angeboten zu begr</w:t>
      </w:r>
      <w:r>
        <w:t>üß</w:t>
      </w:r>
      <w:r>
        <w:t>en.</w:t>
      </w:r>
    </w:p>
    <w:p w14:paraId="7FBD7B7E" w14:textId="77777777" w:rsidR="00432796" w:rsidRDefault="00432796">
      <w:pPr>
        <w:pStyle w:val="RVfliesstext175nb"/>
      </w:pPr>
      <w:r>
        <w:t>Dar</w:t>
      </w:r>
      <w:r>
        <w:t>ü</w:t>
      </w:r>
      <w:r>
        <w:t>ber hinaus kann die Beteiligung von Sch</w:t>
      </w:r>
      <w:r>
        <w:t>ü</w:t>
      </w:r>
      <w:r>
        <w:t>lerinnen und Sch</w:t>
      </w:r>
      <w:r>
        <w:t>ü</w:t>
      </w:r>
      <w:r>
        <w:t>lern an Wettbewerben oder die Durchf</w:t>
      </w:r>
      <w:r>
        <w:t>ü</w:t>
      </w:r>
      <w:r>
        <w:t>hrung solcher Wettbewerbe eine wichtige Rolle bei der Entwicklung von Schulprogrammen spielen.</w:t>
      </w:r>
    </w:p>
    <w:p w14:paraId="23378331" w14:textId="77777777" w:rsidR="00432796" w:rsidRDefault="00432796">
      <w:pPr>
        <w:pStyle w:val="RVueberschrift285fz"/>
      </w:pPr>
      <w:r>
        <w:t>1 Unterst</w:t>
      </w:r>
      <w:r>
        <w:t>ü</w:t>
      </w:r>
      <w:r>
        <w:t>tzungsma</w:t>
      </w:r>
      <w:r>
        <w:t>ß</w:t>
      </w:r>
      <w:r>
        <w:t>nahmen</w:t>
      </w:r>
    </w:p>
    <w:p w14:paraId="23B0B05D" w14:textId="77777777" w:rsidR="00432796" w:rsidRDefault="00432796">
      <w:pPr>
        <w:pStyle w:val="RVfliesstext175nb"/>
      </w:pPr>
      <w:r>
        <w:t>Zur Unterst</w:t>
      </w:r>
      <w:r>
        <w:t>ü</w:t>
      </w:r>
      <w:r>
        <w:t>tzung von Sch</w:t>
      </w:r>
      <w:r>
        <w:t>ü</w:t>
      </w:r>
      <w:r>
        <w:t>lerwettbewerben und Sch</w:t>
      </w:r>
      <w:r>
        <w:t>ü</w:t>
      </w:r>
      <w:r>
        <w:t>lerakademien sollen die im Folgenden skizzierten schulischen Ma</w:t>
      </w:r>
      <w:r>
        <w:t>ß</w:t>
      </w:r>
      <w:r>
        <w:t>nahmen ber</w:t>
      </w:r>
      <w:r>
        <w:t>ü</w:t>
      </w:r>
      <w:r>
        <w:t>cksichtigt werden.</w:t>
      </w:r>
    </w:p>
    <w:p w14:paraId="4C6AB727" w14:textId="77777777" w:rsidR="00432796" w:rsidRDefault="00432796">
      <w:pPr>
        <w:pStyle w:val="RVfliesstext175fl"/>
      </w:pPr>
      <w:r>
        <w:t>1.1 Unterst</w:t>
      </w:r>
      <w:r>
        <w:t>ü</w:t>
      </w:r>
      <w:r>
        <w:t>tzung durch die Schule</w:t>
      </w:r>
    </w:p>
    <w:p w14:paraId="35012511" w14:textId="77777777" w:rsidR="00432796" w:rsidRDefault="00432796">
      <w:pPr>
        <w:pStyle w:val="RVfliesstext175nb"/>
      </w:pPr>
      <w:r>
        <w:t>a) Information</w:t>
      </w:r>
    </w:p>
    <w:p w14:paraId="07F7C51C" w14:textId="77777777" w:rsidR="00432796" w:rsidRDefault="00432796">
      <w:pPr>
        <w:pStyle w:val="RVfliesstext175nb"/>
      </w:pPr>
      <w:r>
        <w:t>Sch</w:t>
      </w:r>
      <w:r>
        <w:t>ü</w:t>
      </w:r>
      <w:r>
        <w:t>lerinnen und Sch</w:t>
      </w:r>
      <w:r>
        <w:t>ü</w:t>
      </w:r>
      <w:r>
        <w:t xml:space="preserve">ler werden durch die Schule rechtzeitig </w:t>
      </w:r>
      <w:r>
        <w:t>ü</w:t>
      </w:r>
      <w:r>
        <w:t>ber die vom Land unterst</w:t>
      </w:r>
      <w:r>
        <w:t>ü</w:t>
      </w:r>
      <w:r>
        <w:t>tzten Sch</w:t>
      </w:r>
      <w:r>
        <w:t>ü</w:t>
      </w:r>
      <w:r>
        <w:t>lerwettbewerbe und Sch</w:t>
      </w:r>
      <w:r>
        <w:t>ü</w:t>
      </w:r>
      <w:r>
        <w:t>lerakademien informiert und zur Teilnahme angeregt. Sch</w:t>
      </w:r>
      <w:r>
        <w:t>ü</w:t>
      </w:r>
      <w:r>
        <w:t>lerinnen sollten ermutigt werden, sich auch an jenen Wettbewerben und Akademien zu beteiligen, bei denen der M</w:t>
      </w:r>
      <w:r>
        <w:t>ä</w:t>
      </w:r>
      <w:r>
        <w:t>dchenanteil unter den Teilnehmerinnen und Teilnehmern bislang eher gering ist.</w:t>
      </w:r>
    </w:p>
    <w:p w14:paraId="47518509" w14:textId="77777777" w:rsidR="00432796" w:rsidRDefault="00432796">
      <w:pPr>
        <w:pStyle w:val="RVfliesstext175nb"/>
      </w:pPr>
      <w:r>
        <w:t>b) Einrichtung von Arbeitsgemeinschaften</w:t>
      </w:r>
    </w:p>
    <w:p w14:paraId="1D697726" w14:textId="77777777" w:rsidR="00432796" w:rsidRDefault="00432796">
      <w:pPr>
        <w:pStyle w:val="RVfliesstext175nb"/>
      </w:pPr>
      <w:r>
        <w:t>Zur Vorbereitung von Sch</w:t>
      </w:r>
      <w:r>
        <w:t>ü</w:t>
      </w:r>
      <w:r>
        <w:t>lerinnen und Sch</w:t>
      </w:r>
      <w:r>
        <w:t>ü</w:t>
      </w:r>
      <w:r>
        <w:t>lern auf die Teilnahme an Wettbewerben k</w:t>
      </w:r>
      <w:r>
        <w:t>ö</w:t>
      </w:r>
      <w:r>
        <w:t>nnen Arbeitsgemeinschaften eingerichtet werden. Diese Arbeitsgemeinschaften sind schulische Veranstaltungen, die von Lehrerinnen und Lehrern im Rahmen ihrer jeweiligen Unterrichtsverpflichtung durchgef</w:t>
      </w:r>
      <w:r>
        <w:t>ü</w:t>
      </w:r>
      <w:r>
        <w:t>hrt werden. Sie sind jahrgangs</w:t>
      </w:r>
      <w:r>
        <w:t>ü</w:t>
      </w:r>
      <w:r>
        <w:t>bergreifend und k</w:t>
      </w:r>
      <w:r>
        <w:t>ö</w:t>
      </w:r>
      <w:r>
        <w:t>nnen schul</w:t>
      </w:r>
      <w:r>
        <w:t>ü</w:t>
      </w:r>
      <w:r>
        <w:t>bergreifend organisiert werden. Wegen der Einrichtung solcher Arbeitsgemeinschaften darf kein Unterricht ausfallen.</w:t>
      </w:r>
    </w:p>
    <w:p w14:paraId="720CAE37" w14:textId="77777777" w:rsidR="00432796" w:rsidRDefault="00432796">
      <w:pPr>
        <w:pStyle w:val="RVfliesstext175nb"/>
      </w:pPr>
      <w:r>
        <w:t>c) Fachliche Beratung und Unterst</w:t>
      </w:r>
      <w:r>
        <w:t>ü</w:t>
      </w:r>
      <w:r>
        <w:t>tzung</w:t>
      </w:r>
    </w:p>
    <w:p w14:paraId="6B8463C5" w14:textId="77777777" w:rsidR="00432796" w:rsidRDefault="00432796">
      <w:pPr>
        <w:pStyle w:val="RVfliesstext175nb"/>
      </w:pPr>
      <w:r>
        <w:t>An Wettbewerben teilnehmende Sch</w:t>
      </w:r>
      <w:r>
        <w:t>ü</w:t>
      </w:r>
      <w:r>
        <w:t>lerinnen und Sch</w:t>
      </w:r>
      <w:r>
        <w:t>ü</w:t>
      </w:r>
      <w:r>
        <w:t>ler sollten - soweit die Teilnahmebedingungen dies zulassen - fachlich beraten werden. Ihnen sollte wo immer m</w:t>
      </w:r>
      <w:r>
        <w:t>ö</w:t>
      </w:r>
      <w:r>
        <w:t>glich der Zugang zu Bibliotheken, Fachr</w:t>
      </w:r>
      <w:r>
        <w:t>ä</w:t>
      </w:r>
      <w:r>
        <w:t>umen und technischen Ausr</w:t>
      </w:r>
      <w:r>
        <w:t>ü</w:t>
      </w:r>
      <w:r>
        <w:t>stungen gew</w:t>
      </w:r>
      <w:r>
        <w:t>ä</w:t>
      </w:r>
      <w:r>
        <w:t>hrt und die Kontaktaufnahme mit anderen Schulen und Hochschulen, mit Wirtschaft und Industrie sowie mit Verb</w:t>
      </w:r>
      <w:r>
        <w:t>ä</w:t>
      </w:r>
      <w:r>
        <w:t>nden, Vereinen und anderen Institutionen erleichtert werden.</w:t>
      </w:r>
    </w:p>
    <w:p w14:paraId="50F47D11" w14:textId="77777777" w:rsidR="00432796" w:rsidRDefault="00432796">
      <w:pPr>
        <w:pStyle w:val="RVfliesstext175nb"/>
      </w:pPr>
      <w:r>
        <w:t>d) Schulische Veranstaltungen</w:t>
      </w:r>
    </w:p>
    <w:p w14:paraId="4E6EE2CC" w14:textId="77777777" w:rsidR="00432796" w:rsidRDefault="00432796">
      <w:pPr>
        <w:pStyle w:val="RVfliesstext175nb"/>
      </w:pPr>
      <w:r>
        <w:t>Veranstaltungen im Zusammenhang der unterst</w:t>
      </w:r>
      <w:r>
        <w:t>ü</w:t>
      </w:r>
      <w:r>
        <w:t>tzten Sch</w:t>
      </w:r>
      <w:r>
        <w:t>ü</w:t>
      </w:r>
      <w:r>
        <w:t>lerwettbewerbe sowie unterst</w:t>
      </w:r>
      <w:r>
        <w:t>ü</w:t>
      </w:r>
      <w:r>
        <w:t>tzten Sch</w:t>
      </w:r>
      <w:r>
        <w:t>ü</w:t>
      </w:r>
      <w:r>
        <w:t>lerakademien, die im Rahmen der Schule und unter Aufsicht stattfinden, gelten als schulische Veranstaltungen.</w:t>
      </w:r>
    </w:p>
    <w:p w14:paraId="0EFF7BFC" w14:textId="77777777" w:rsidR="00432796" w:rsidRDefault="00432796">
      <w:pPr>
        <w:pStyle w:val="RVfliesstext175fl"/>
      </w:pPr>
      <w:r>
        <w:t>1.2 Unterst</w:t>
      </w:r>
      <w:r>
        <w:t>ü</w:t>
      </w:r>
      <w:r>
        <w:t>tzung durch die Schulaufsicht</w:t>
      </w:r>
    </w:p>
    <w:p w14:paraId="7A443E25" w14:textId="77777777" w:rsidR="00432796" w:rsidRDefault="00432796">
      <w:pPr>
        <w:pStyle w:val="RVfliesstext175nb"/>
      </w:pPr>
      <w:r>
        <w:t>a) Information</w:t>
      </w:r>
    </w:p>
    <w:p w14:paraId="27111C36" w14:textId="77777777" w:rsidR="00432796" w:rsidRDefault="00432796">
      <w:pPr>
        <w:pStyle w:val="RVfliesstext175nb"/>
      </w:pPr>
      <w:r>
        <w:t>Hinweise zu den Zielsetzungen, Aufgabenstellungen und Teilnahmebedingungen der vom Land unterst</w:t>
      </w:r>
      <w:r>
        <w:t>ü</w:t>
      </w:r>
      <w:r>
        <w:t>tzten Sch</w:t>
      </w:r>
      <w:r>
        <w:t>ü</w:t>
      </w:r>
      <w:r>
        <w:t>lerwettbewerbe und Sch</w:t>
      </w:r>
      <w:r>
        <w:t>ü</w:t>
      </w:r>
      <w:r>
        <w:t>lerakademien werden auf Wunsch des Tr</w:t>
      </w:r>
      <w:r>
        <w:t>ä</w:t>
      </w:r>
      <w:r>
        <w:t>gers im Amtsblatt wie auch im Bildungsportal des f</w:t>
      </w:r>
      <w:r>
        <w:t>ü</w:t>
      </w:r>
      <w:r>
        <w:t>r Schule zust</w:t>
      </w:r>
      <w:r>
        <w:t>ä</w:t>
      </w:r>
      <w:r>
        <w:t>ndigen Ministeriums ver</w:t>
      </w:r>
      <w:r>
        <w:t>ö</w:t>
      </w:r>
      <w:r>
        <w:t>ffentlicht.</w:t>
      </w:r>
    </w:p>
    <w:p w14:paraId="56740661" w14:textId="77777777" w:rsidR="00432796" w:rsidRDefault="00432796">
      <w:pPr>
        <w:pStyle w:val="RVfliesstext175nb"/>
      </w:pPr>
      <w:r>
        <w:t>b) Beauftragung von Wettbewerbsleiterinnen und Wettbewerbsleitern</w:t>
      </w:r>
    </w:p>
    <w:p w14:paraId="3C258B02" w14:textId="77777777" w:rsidR="00432796" w:rsidRDefault="00432796">
      <w:pPr>
        <w:pStyle w:val="RVfliesstext175nb"/>
      </w:pPr>
      <w:r>
        <w:t>Das Land kann Wettbewerbsleiterinnen und Wettbewerbsleiter beauftragen, die mit den Tr</w:t>
      </w:r>
      <w:r>
        <w:t>ä</w:t>
      </w:r>
      <w:r>
        <w:t>gern der Wettbewerbe und Akademien kooperieren und f</w:t>
      </w:r>
      <w:r>
        <w:t>ü</w:t>
      </w:r>
      <w:r>
        <w:t>r Vorbereitung, Durchf</w:t>
      </w:r>
      <w:r>
        <w:t>ü</w:t>
      </w:r>
      <w:r>
        <w:t>hrung und Auswertung der landesweiten Wettbewerbsrunden und die Organisation von Sch</w:t>
      </w:r>
      <w:r>
        <w:t>ü</w:t>
      </w:r>
      <w:r>
        <w:t>lerakademien verantwortlich sind. Von den Schulleitungen benannte Ansprechpersonen f</w:t>
      </w:r>
      <w:r>
        <w:t>ü</w:t>
      </w:r>
      <w:r>
        <w:t>r die einzelnen Wettbewerbe arbeiten mit diesen beauftragten Wettbewerbsleiterinnen und -leitern eng zusammen.</w:t>
      </w:r>
    </w:p>
    <w:p w14:paraId="0752A86B" w14:textId="77777777" w:rsidR="00432796" w:rsidRDefault="00432796">
      <w:pPr>
        <w:pStyle w:val="RVfliesstext175nb"/>
      </w:pPr>
      <w:r>
        <w:t>c) Unterst</w:t>
      </w:r>
      <w:r>
        <w:t>ü</w:t>
      </w:r>
      <w:r>
        <w:t>tzung der Lehrkr</w:t>
      </w:r>
      <w:r>
        <w:t>ä</w:t>
      </w:r>
      <w:r>
        <w:t>fte</w:t>
      </w:r>
    </w:p>
    <w:p w14:paraId="0913B870" w14:textId="77777777" w:rsidR="00432796" w:rsidRDefault="00432796">
      <w:pPr>
        <w:pStyle w:val="RVfliesstext175nb"/>
      </w:pPr>
      <w:r>
        <w:t>Lehrkr</w:t>
      </w:r>
      <w:r>
        <w:t>ä</w:t>
      </w:r>
      <w:r>
        <w:t>fte, die mit der Betreuung von Sch</w:t>
      </w:r>
      <w:r>
        <w:t>ü</w:t>
      </w:r>
      <w:r>
        <w:t>lerinnen und Sch</w:t>
      </w:r>
      <w:r>
        <w:t>ü</w:t>
      </w:r>
      <w:r>
        <w:t>lern oder mit Aufgaben bei der Vorbereitung, Organisation und Durchf</w:t>
      </w:r>
      <w:r>
        <w:t>ü</w:t>
      </w:r>
      <w:r>
        <w:t>hrung eines Sch</w:t>
      </w:r>
      <w:r>
        <w:t>ü</w:t>
      </w:r>
      <w:r>
        <w:t>lerwettbewerbs oder einer Sch</w:t>
      </w:r>
      <w:r>
        <w:t>ü</w:t>
      </w:r>
      <w:r>
        <w:t>lerakademie beauftragt sind, k</w:t>
      </w:r>
      <w:r>
        <w:t>ö</w:t>
      </w:r>
      <w:r>
        <w:t>nnen die Fahrten zu den jeweiligen Veranstaltungen von der zust</w:t>
      </w:r>
      <w:r>
        <w:t>ä</w:t>
      </w:r>
      <w:r>
        <w:t>ndigen Bezirksregierung auf der Grundlage entsprechender Einzelantr</w:t>
      </w:r>
      <w:r>
        <w:t>ä</w:t>
      </w:r>
      <w:r>
        <w:t>ge als Dienstreisen bzw. Dienstg</w:t>
      </w:r>
      <w:r>
        <w:t>ä</w:t>
      </w:r>
      <w:r>
        <w:t>nge genehmigen lassen. Die Bezirksregierung pr</w:t>
      </w:r>
      <w:r>
        <w:t>ü</w:t>
      </w:r>
      <w:r>
        <w:t>ft den Umfang der zu erstattenden Reisekosten.</w:t>
      </w:r>
    </w:p>
    <w:p w14:paraId="54975091" w14:textId="77777777" w:rsidR="00432796" w:rsidRDefault="00432796">
      <w:pPr>
        <w:pStyle w:val="RVfliesstext175nb"/>
      </w:pPr>
      <w:r>
        <w:t xml:space="preserve">Ein </w:t>
      </w:r>
      <w:r>
        <w:t>ü</w:t>
      </w:r>
      <w:r>
        <w:t>berdurchschnittliches Engagement bei der Vorbereitung, Durchf</w:t>
      </w:r>
      <w:r>
        <w:t>ü</w:t>
      </w:r>
      <w:r>
        <w:t>hrung und Auswertung von Sch</w:t>
      </w:r>
      <w:r>
        <w:t>ü</w:t>
      </w:r>
      <w:r>
        <w:t xml:space="preserve">lerwettbewerben sowie bei der Mitarbeit </w:t>
      </w:r>
      <w:r>
        <w:t>bei einer Sch</w:t>
      </w:r>
      <w:r>
        <w:t>ü</w:t>
      </w:r>
      <w:r>
        <w:t>lerakademie geht in die dienstliche Beurteilung der jeweiligen Lehrkraft ein.</w:t>
      </w:r>
    </w:p>
    <w:p w14:paraId="4BFAA723" w14:textId="77777777" w:rsidR="00432796" w:rsidRDefault="00432796">
      <w:pPr>
        <w:pStyle w:val="RVfliesstext175fl"/>
      </w:pPr>
      <w:r>
        <w:t>1.3 W</w:t>
      </w:r>
      <w:r>
        <w:t>ü</w:t>
      </w:r>
      <w:r>
        <w:t>rdigung besonderer Leistungen von Sch</w:t>
      </w:r>
      <w:r>
        <w:t>ü</w:t>
      </w:r>
      <w:r>
        <w:t>lerinnen und Sch</w:t>
      </w:r>
      <w:r>
        <w:t>ü</w:t>
      </w:r>
      <w:r>
        <w:t>lern in Sch</w:t>
      </w:r>
      <w:r>
        <w:t>ü</w:t>
      </w:r>
      <w:r>
        <w:t>lerwettbewerben und Sch</w:t>
      </w:r>
      <w:r>
        <w:t>ü</w:t>
      </w:r>
      <w:r>
        <w:t>lerakademien</w:t>
      </w:r>
    </w:p>
    <w:p w14:paraId="69EAC919" w14:textId="77777777" w:rsidR="00432796" w:rsidRDefault="00432796">
      <w:pPr>
        <w:pStyle w:val="RVfliesstext175nb"/>
      </w:pPr>
      <w:r>
        <w:t>Sch</w:t>
      </w:r>
      <w:r>
        <w:t>ü</w:t>
      </w:r>
      <w:r>
        <w:t>lerinnen und Sch</w:t>
      </w:r>
      <w:r>
        <w:t>ü</w:t>
      </w:r>
      <w:r>
        <w:t>ler, die erfolgreich an Sch</w:t>
      </w:r>
      <w:r>
        <w:t>ü</w:t>
      </w:r>
      <w:r>
        <w:t>lerwettbewerben oder Sch</w:t>
      </w:r>
      <w:r>
        <w:t>ü</w:t>
      </w:r>
      <w:r>
        <w:t>lerakademien teilgenommen haben, erfahren durch die jeweilige Schule eine angemessene W</w:t>
      </w:r>
      <w:r>
        <w:t>ü</w:t>
      </w:r>
      <w:r>
        <w:t xml:space="preserve">rdigung. Die besondere Leistung soll ihnen als Bemerkung im Zeugnis bescheinigt werden. Die Schulgemeinde soll </w:t>
      </w:r>
      <w:r>
        <w:t>ü</w:t>
      </w:r>
      <w:r>
        <w:t>ber die Wettbewerbserfolge von Sch</w:t>
      </w:r>
      <w:r>
        <w:t>ü</w:t>
      </w:r>
      <w:r>
        <w:t>lerinnen und Sch</w:t>
      </w:r>
      <w:r>
        <w:t>ü</w:t>
      </w:r>
      <w:r>
        <w:t>lern informiert werden.</w:t>
      </w:r>
    </w:p>
    <w:p w14:paraId="6F31A6AF" w14:textId="77777777" w:rsidR="00432796" w:rsidRDefault="00432796">
      <w:pPr>
        <w:pStyle w:val="RVfliesstext175nb"/>
      </w:pPr>
      <w:r>
        <w:t>Jene Sch</w:t>
      </w:r>
      <w:r>
        <w:t>ü</w:t>
      </w:r>
      <w:r>
        <w:t>lerinnen und Sch</w:t>
      </w:r>
      <w:r>
        <w:t>ü</w:t>
      </w:r>
      <w:r>
        <w:t>ler, die Herausragendes bei Sch</w:t>
      </w:r>
      <w:r>
        <w:t>ü</w:t>
      </w:r>
      <w:r>
        <w:t>lerwettbewerben geleistet haben, werden den Bezirksregierungen und ggf. dem f</w:t>
      </w:r>
      <w:r>
        <w:t>ü</w:t>
      </w:r>
      <w:r>
        <w:t>r Schule zust</w:t>
      </w:r>
      <w:r>
        <w:t>ä</w:t>
      </w:r>
      <w:r>
        <w:t>ndigen Ministerium benannt, damit sie auch durch die Schulaufsicht geb</w:t>
      </w:r>
      <w:r>
        <w:t>ü</w:t>
      </w:r>
      <w:r>
        <w:t>hrende Anerkennung erfahren k</w:t>
      </w:r>
      <w:r>
        <w:t>ö</w:t>
      </w:r>
      <w:r>
        <w:t>nnen.</w:t>
      </w:r>
    </w:p>
    <w:p w14:paraId="5ED48946" w14:textId="77777777" w:rsidR="00432796" w:rsidRDefault="00432796">
      <w:pPr>
        <w:pStyle w:val="RVfliesstext175fl"/>
      </w:pPr>
      <w:r>
        <w:t>1.4 Anerkennung von Leistungen in Sch</w:t>
      </w:r>
      <w:r>
        <w:t>ü</w:t>
      </w:r>
      <w:r>
        <w:t xml:space="preserve">lerwettbewerben als </w:t>
      </w:r>
      <w:r>
        <w:t>„</w:t>
      </w:r>
      <w:r>
        <w:t>besondere Lernleistung</w:t>
      </w:r>
      <w:r>
        <w:t>“</w:t>
      </w:r>
      <w:r>
        <w:t xml:space="preserve"> im Rahmen der Abiturpr</w:t>
      </w:r>
      <w:r>
        <w:t>ü</w:t>
      </w:r>
      <w:r>
        <w:t>fung</w:t>
      </w:r>
    </w:p>
    <w:p w14:paraId="1AA32C75" w14:textId="77777777" w:rsidR="00432796" w:rsidRDefault="00432796">
      <w:pPr>
        <w:pStyle w:val="RVfliesstext175nb"/>
      </w:pPr>
      <w:r>
        <w:t>Sch</w:t>
      </w:r>
      <w:r>
        <w:t>ü</w:t>
      </w:r>
      <w:r>
        <w:t>lerinnen und Sch</w:t>
      </w:r>
      <w:r>
        <w:t>ü</w:t>
      </w:r>
      <w:r>
        <w:t>ler sind darauf hinzuweisen, dass Leistungen, die bei einem von den L</w:t>
      </w:r>
      <w:r>
        <w:t>ä</w:t>
      </w:r>
      <w:r>
        <w:t>ndern gef</w:t>
      </w:r>
      <w:r>
        <w:t>ö</w:t>
      </w:r>
      <w:r>
        <w:t xml:space="preserve">rderten Wettbewerb erbracht worden sind, als </w:t>
      </w:r>
      <w:r>
        <w:t>„</w:t>
      </w:r>
      <w:r>
        <w:t>besondere Lernleistung</w:t>
      </w:r>
      <w:r>
        <w:t>“</w:t>
      </w:r>
      <w:r>
        <w:t xml:space="preserve"> in die Abiturpr</w:t>
      </w:r>
      <w:r>
        <w:t>ü</w:t>
      </w:r>
      <w:r>
        <w:t>fung eingebracht werden k</w:t>
      </w:r>
      <w:r>
        <w:t>ö</w:t>
      </w:r>
      <w:r>
        <w:t xml:space="preserve">nnen, sofern sie </w:t>
      </w:r>
    </w:p>
    <w:p w14:paraId="00ED38CF" w14:textId="77777777" w:rsidR="00432796" w:rsidRDefault="00432796">
      <w:pPr>
        <w:pStyle w:val="RVfliesstext175nb"/>
      </w:pPr>
      <w:r>
        <w:t>- auf selbstst</w:t>
      </w:r>
      <w:r>
        <w:t>ä</w:t>
      </w:r>
      <w:r>
        <w:t>ndigem Probleml</w:t>
      </w:r>
      <w:r>
        <w:t>ö</w:t>
      </w:r>
      <w:r>
        <w:t>sen sowie auf einer gesicherten Kenntnis einschl</w:t>
      </w:r>
      <w:r>
        <w:t>ä</w:t>
      </w:r>
      <w:r>
        <w:t>giger Fachliteratur basieren,</w:t>
      </w:r>
    </w:p>
    <w:p w14:paraId="27A9086F" w14:textId="77777777" w:rsidR="00432796" w:rsidRDefault="00432796">
      <w:pPr>
        <w:pStyle w:val="RVfliesstext175nb"/>
      </w:pPr>
      <w:r>
        <w:t>- Ergebnis einer l</w:t>
      </w:r>
      <w:r>
        <w:t>ä</w:t>
      </w:r>
      <w:r>
        <w:t>ngerfristigen Besch</w:t>
      </w:r>
      <w:r>
        <w:t>ä</w:t>
      </w:r>
      <w:r>
        <w:t xml:space="preserve">ftigung mit diesen Problemstellungen sind und als ein </w:t>
      </w:r>
      <w:r>
        <w:t>Ä</w:t>
      </w:r>
      <w:r>
        <w:t xml:space="preserve">quivalent zu einem sich </w:t>
      </w:r>
      <w:r>
        <w:t>ü</w:t>
      </w:r>
      <w:r>
        <w:t>ber zwei Schulhalbjahre erstreckenden Grund- oder Leistungskurs angesehen werden k</w:t>
      </w:r>
      <w:r>
        <w:t>ö</w:t>
      </w:r>
      <w:r>
        <w:t>nnen und</w:t>
      </w:r>
    </w:p>
    <w:p w14:paraId="1AB55CC0" w14:textId="77777777" w:rsidR="00432796" w:rsidRDefault="00432796">
      <w:pPr>
        <w:pStyle w:val="RVfliesstext175nb"/>
      </w:pPr>
      <w:r>
        <w:t>- so komplex sind, dass eine umfangreiche schriftliche Dokumentation der L</w:t>
      </w:r>
      <w:r>
        <w:t>ö</w:t>
      </w:r>
      <w:r>
        <w:t>sungen erforderlich ist.</w:t>
      </w:r>
    </w:p>
    <w:p w14:paraId="3AB3E93C" w14:textId="77777777" w:rsidR="00432796" w:rsidRDefault="00432796">
      <w:pPr>
        <w:pStyle w:val="RVfliesstext175nb"/>
      </w:pPr>
      <w:r>
        <w:t>Ü</w:t>
      </w:r>
      <w:r>
        <w:t xml:space="preserve">ber die Anerkennung als </w:t>
      </w:r>
      <w:r>
        <w:t>„</w:t>
      </w:r>
      <w:r>
        <w:t>besondere Lernleistung</w:t>
      </w:r>
      <w:r>
        <w:t>“</w:t>
      </w:r>
      <w:r>
        <w:t xml:space="preserve"> ist im Einzelfall zu entscheiden. Sch</w:t>
      </w:r>
      <w:r>
        <w:t>ü</w:t>
      </w:r>
      <w:r>
        <w:t>lerinnen und Sch</w:t>
      </w:r>
      <w:r>
        <w:t>ü</w:t>
      </w:r>
      <w:r>
        <w:t>ler k</w:t>
      </w:r>
      <w:r>
        <w:t>ö</w:t>
      </w:r>
      <w:r>
        <w:t xml:space="preserve">nnen bei ihrer Schule einen Antrag auf Anerkennung als </w:t>
      </w:r>
      <w:r>
        <w:t>„</w:t>
      </w:r>
      <w:r>
        <w:t>besondere Lernleistung</w:t>
      </w:r>
      <w:r>
        <w:t>“</w:t>
      </w:r>
      <w:r>
        <w:t xml:space="preserve"> nach</w:t>
      </w:r>
      <w:hyperlink r:id="rId6" w:history="1">
        <w:r>
          <w:t xml:space="preserve"> § 17 APO-GOSt</w:t>
        </w:r>
      </w:hyperlink>
      <w:r>
        <w:t xml:space="preserve"> (BASS 13-32 Nr. 3.1) stellen. Sie sollten von den Lehrkr</w:t>
      </w:r>
      <w:r>
        <w:t>ä</w:t>
      </w:r>
      <w:r>
        <w:t>ften sowie von der Schulleitung dazu ermutigt werden.</w:t>
      </w:r>
    </w:p>
    <w:p w14:paraId="23077CD3" w14:textId="77777777" w:rsidR="00432796" w:rsidRDefault="00432796">
      <w:pPr>
        <w:pStyle w:val="RVueberschrift285fz"/>
      </w:pPr>
      <w:r>
        <w:t>2 Unterst</w:t>
      </w:r>
      <w:r>
        <w:t>ü</w:t>
      </w:r>
      <w:r>
        <w:t>tzte Sch</w:t>
      </w:r>
      <w:r>
        <w:t>ü</w:t>
      </w:r>
      <w:r>
        <w:t>lerwettbewerbe und Sch</w:t>
      </w:r>
      <w:r>
        <w:t>ü</w:t>
      </w:r>
      <w:r>
        <w:t>lerakademien</w:t>
      </w:r>
    </w:p>
    <w:p w14:paraId="714C7A86" w14:textId="77777777" w:rsidR="00432796" w:rsidRDefault="00432796">
      <w:pPr>
        <w:pStyle w:val="RVfliesstext175nb"/>
      </w:pPr>
      <w:r>
        <w:t>Die aktuell vom Land unterst</w:t>
      </w:r>
      <w:r>
        <w:t>ü</w:t>
      </w:r>
      <w:r>
        <w:t xml:space="preserve">tzten </w:t>
      </w:r>
      <w:r>
        <w:t>ü</w:t>
      </w:r>
      <w:r>
        <w:t>berregionalen Sch</w:t>
      </w:r>
      <w:r>
        <w:t>ü</w:t>
      </w:r>
      <w:r>
        <w:t xml:space="preserve">lerwettbewerbe finden sich unter </w:t>
      </w:r>
      <w:hyperlink r:id="rId7" w:history="1">
        <w:r>
          <w:t>www.schulministerium.nrw/lehrkraefte/termine-aktivitae</w:t>
        </w:r>
      </w:hyperlink>
      <w:r>
        <w:t>ten/wettbewerbe im Bildungsportal.</w:t>
      </w:r>
    </w:p>
    <w:p w14:paraId="1E0558A6" w14:textId="77777777" w:rsidR="00432796" w:rsidRDefault="00432796">
      <w:pPr>
        <w:pStyle w:val="RVfliesstext175nb"/>
      </w:pPr>
      <w:r>
        <w:t>Die aktuell vom Land unterst</w:t>
      </w:r>
      <w:r>
        <w:t>ü</w:t>
      </w:r>
      <w:r>
        <w:t xml:space="preserve">tzten </w:t>
      </w:r>
      <w:r>
        <w:t>ü</w:t>
      </w:r>
      <w:r>
        <w:t>berregionalen Sch</w:t>
      </w:r>
      <w:r>
        <w:t>ü</w:t>
      </w:r>
      <w:r>
        <w:t>lerakademien finden sich unter</w:t>
      </w:r>
      <w:hyperlink r:id="rId8" w:history="1">
        <w:r>
          <w:t xml:space="preserve"> www.schulministerium.nrw/schuelerakademien</w:t>
        </w:r>
      </w:hyperlink>
      <w:r>
        <w:t xml:space="preserve"> im Bildungsportal.</w:t>
      </w:r>
    </w:p>
    <w:p w14:paraId="4E26966B" w14:textId="77777777" w:rsidR="00432796" w:rsidRDefault="00432796">
      <w:pPr>
        <w:pStyle w:val="RVfliesstext175nb"/>
      </w:pPr>
    </w:p>
    <w:sectPr w:rsidR="00000000">
      <w:footerReference w:type="default" r:id="rId9"/>
      <w:type w:val="continuous"/>
      <w:pgSz w:w="11906" w:h="16838"/>
      <w:pgMar w:top="1152" w:right="784" w:bottom="982" w:left="112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C4B5" w14:textId="77777777" w:rsidR="00432796" w:rsidRDefault="00432796">
      <w:r>
        <w:separator/>
      </w:r>
    </w:p>
  </w:endnote>
  <w:endnote w:type="continuationSeparator" w:id="0">
    <w:p w14:paraId="6E4BC45E" w14:textId="77777777" w:rsidR="00432796" w:rsidRDefault="0043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2705" w14:textId="77777777" w:rsidR="00432796" w:rsidRDefault="00432796">
    <w:pPr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noProof/>
      </w:rPr>
      <w:pict w14:anchorId="0C33EC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8pt;z-index:251659264;mso-wrap-distance-left:0;mso-wrap-distance-top:0;mso-wrap-distance-right:0;mso-wrap-distance-bottom:0;mso-position-horizontal:left;mso-position-horizontal-relative:text;mso-position-vertical:bottom;mso-position-vertical-relative:text" o:allowincell="f" stroked="f">
          <v:textbox inset="0,0,0,0">
            <w:txbxContent>
              <w:p w14:paraId="7CB9024C" w14:textId="77777777" w:rsidR="00432796" w:rsidRDefault="00432796">
                <w:pPr>
                  <w:tabs>
                    <w:tab w:val="left" w:pos="4989"/>
                    <w:tab w:val="left" w:pos="7455"/>
                    <w:tab w:val="left" w:pos="9978"/>
                  </w:tabs>
                  <w:spacing w:before="10" w:after="10" w:line="150" w:lineRule="exact"/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B162" w14:textId="77777777" w:rsidR="00432796" w:rsidRDefault="00432796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3A415B61" w14:textId="77777777" w:rsidR="00432796" w:rsidRDefault="0043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2E5A"/>
    <w:rsid w:val="001D4CE3"/>
    <w:rsid w:val="00222E5A"/>
    <w:rsid w:val="004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29570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FrameContents">
    <w:name w:val="Frame Contents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/schuelerakademi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ulministerium.nrw/lehrkraefte/termine-aktivitaeten/wettbewer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https://bass.schul-welt.de/9607.htm#13-32nr3.1p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