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69234916" w14:textId="77777777">
        <w:trPr>
          <w:trHeight w:val="11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0F16E5A" w14:textId="77777777" w:rsidR="00491F6C" w:rsidRDefault="00491F6C">
            <w:pPr>
              <w:pStyle w:val="RVfliesstext175nb"/>
              <w:ind w:firstLine="0"/>
              <w:rPr>
                <w:rFonts w:cs="Calibri"/>
              </w:rPr>
            </w:pPr>
            <w:r>
              <w:t xml:space="preserve">Das Fortbildungsangebot </w:t>
            </w:r>
            <w:r>
              <w:t>„</w:t>
            </w:r>
            <w:r>
              <w:t>Vielfalt f</w:t>
            </w:r>
            <w:r>
              <w:t>ö</w:t>
            </w:r>
            <w:r>
              <w:t>rdern</w:t>
            </w:r>
            <w:r>
              <w:t>“</w:t>
            </w:r>
            <w:r>
              <w:t xml:space="preserve"> unterst</w:t>
            </w:r>
            <w:r>
              <w:t>ü</w:t>
            </w:r>
            <w:r>
              <w:t>tzt Lehrkr</w:t>
            </w:r>
            <w:r>
              <w:t>ä</w:t>
            </w:r>
            <w:r>
              <w:t>fte in Nordrhein-Westfalen dabei, sich besser auf die unterschiedlichen Lernausgangslagen, Potenziale und Interessen der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einzustellen. Das Angebot richtet sich an ganze Kollegien bzw. Teilkollegien, die in Teams ein gemeinsames Konzept individueller F</w:t>
            </w:r>
            <w:r>
              <w:t>ö</w:t>
            </w:r>
            <w:r>
              <w:t>rderung im Unterricht f</w:t>
            </w:r>
            <w:r>
              <w:t>ü</w:t>
            </w:r>
            <w:r>
              <w:t>r ihre Schule erarbeiten m</w:t>
            </w:r>
            <w:r>
              <w:t>ö</w:t>
            </w:r>
            <w:r>
              <w:t>chten.</w:t>
            </w:r>
          </w:p>
        </w:tc>
      </w:tr>
    </w:tbl>
    <w:p w14:paraId="09B7BB65" w14:textId="77777777" w:rsidR="00491F6C" w:rsidRDefault="00491F6C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20-22 Nr. 8</w:t>
      </w:r>
    </w:p>
    <w:p w14:paraId="689CC278" w14:textId="77777777" w:rsidR="00491F6C" w:rsidRDefault="00491F6C">
      <w:pPr>
        <w:pStyle w:val="RVueberschrift1100fz"/>
        <w:keepNext/>
        <w:keepLines/>
      </w:pPr>
      <w:r>
        <w:rPr>
          <w:rFonts w:cs="Calibri"/>
        </w:rPr>
        <w:t xml:space="preserve">Fort- und Weiterbildung; </w:t>
      </w:r>
      <w:r>
        <w:rPr>
          <w:rFonts w:cs="Calibri"/>
        </w:rPr>
        <w:br/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 das Schulpersonal (</w:t>
      </w:r>
      <w:r>
        <w:rPr>
          <w:rFonts w:cs="Calibri"/>
        </w:rPr>
        <w:t>§§</w:t>
      </w:r>
      <w:r>
        <w:rPr>
          <w:rFonts w:cs="Calibri"/>
        </w:rPr>
        <w:t xml:space="preserve"> 57-60 SchulG); </w:t>
      </w:r>
      <w:r>
        <w:rPr>
          <w:rFonts w:cs="Calibri"/>
        </w:rPr>
        <w:br/>
        <w:t xml:space="preserve">Anlage 4 </w:t>
      </w:r>
      <w:r>
        <w:rPr>
          <w:rFonts w:cs="Calibri"/>
        </w:rPr>
        <w:t>„</w:t>
      </w:r>
      <w:r>
        <w:rPr>
          <w:rFonts w:cs="Calibri"/>
        </w:rPr>
        <w:t>Vielfalt f</w:t>
      </w:r>
      <w:r>
        <w:rPr>
          <w:rFonts w:cs="Calibri"/>
        </w:rPr>
        <w:t>ö</w:t>
      </w:r>
      <w:r>
        <w:rPr>
          <w:rFonts w:cs="Calibri"/>
        </w:rPr>
        <w:t>rdern</w:t>
      </w:r>
      <w:r>
        <w:rPr>
          <w:rFonts w:cs="Calibri"/>
        </w:rPr>
        <w:t>“</w:t>
      </w:r>
    </w:p>
    <w:p w14:paraId="60DD58F2" w14:textId="77777777" w:rsidR="00491F6C" w:rsidRDefault="00491F6C">
      <w:pPr>
        <w:pStyle w:val="RVueberschrift285nz"/>
        <w:keepNext/>
        <w:keepLines/>
      </w:pPr>
      <w:r>
        <w:rPr>
          <w:rFonts w:cs="Calibri"/>
        </w:rPr>
        <w:t>RdErl. d.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17.04.2018 - 424-6.07.01-109117</w:t>
      </w:r>
    </w:p>
    <w:p w14:paraId="26AA3693" w14:textId="77777777" w:rsidR="00491F6C" w:rsidRDefault="00491F6C">
      <w:pPr>
        <w:pStyle w:val="RVfliesstext175fl"/>
      </w:pPr>
      <w:r>
        <w:rPr>
          <w:rFonts w:cs="Calibri"/>
        </w:rPr>
        <w:t>Bezug:</w:t>
      </w:r>
    </w:p>
    <w:p w14:paraId="6AFC6623" w14:textId="77777777" w:rsidR="00491F6C" w:rsidRDefault="00491F6C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06.04.2014 (BASS 20-22 Nr.8)</w:t>
      </w:r>
    </w:p>
    <w:p w14:paraId="6FE74A84" w14:textId="77777777" w:rsidR="00491F6C" w:rsidRDefault="00491F6C">
      <w:pPr>
        <w:pStyle w:val="RVfliesstext175nb"/>
      </w:pPr>
      <w:r>
        <w:rPr>
          <w:rFonts w:cs="Calibri"/>
        </w:rPr>
        <w:t xml:space="preserve">Die Anlage 4 Nummer VI. zum Fortbildungsprogramm </w:t>
      </w:r>
      <w:r>
        <w:rPr>
          <w:rFonts w:cs="Calibri"/>
        </w:rPr>
        <w:t>„</w:t>
      </w:r>
      <w:r>
        <w:rPr>
          <w:rFonts w:cs="Calibri"/>
        </w:rPr>
        <w:t>Vielfalt f</w:t>
      </w:r>
      <w:r>
        <w:rPr>
          <w:rFonts w:cs="Calibri"/>
        </w:rPr>
        <w:t>ö</w:t>
      </w:r>
      <w:r>
        <w:rPr>
          <w:rFonts w:cs="Calibri"/>
        </w:rPr>
        <w:t>rdern</w:t>
      </w:r>
      <w:r>
        <w:rPr>
          <w:rFonts w:cs="Calibri"/>
        </w:rPr>
        <w:t>“</w:t>
      </w:r>
      <w:r>
        <w:rPr>
          <w:rFonts w:cs="Calibri"/>
        </w:rPr>
        <w:t xml:space="preserve"> wird folgenderma</w:t>
      </w:r>
      <w:r>
        <w:rPr>
          <w:rFonts w:cs="Calibri"/>
        </w:rPr>
        <w:t>ß</w:t>
      </w:r>
      <w:r>
        <w:rPr>
          <w:rFonts w:cs="Calibri"/>
        </w:rPr>
        <w:t>en ersetzt.</w:t>
      </w:r>
    </w:p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28399777" w14:textId="77777777">
        <w:trPr>
          <w:trHeight w:val="35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722A942" w14:textId="77777777" w:rsidR="00491F6C" w:rsidRDefault="00491F6C">
            <w:pPr>
              <w:pStyle w:val="RVtabellenanker"/>
              <w:widowControl/>
            </w:pPr>
          </w:p>
          <w:p w14:paraId="27C413D5" w14:textId="77777777" w:rsidR="00491F6C" w:rsidRDefault="00491F6C">
            <w:pPr>
              <w:pStyle w:val="RVueberschrift285fz"/>
            </w:pPr>
            <w:r>
              <w:rPr>
                <w:rFonts w:cs="Arial"/>
              </w:rPr>
              <w:t>VI. Vielfalt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rdern</w:t>
            </w:r>
          </w:p>
        </w:tc>
      </w:tr>
    </w:tbl>
    <w:p w14:paraId="447475D7" w14:textId="77777777" w:rsidR="00491F6C" w:rsidRDefault="00491F6C">
      <w:pPr>
        <w:pStyle w:val="RVfliesstext175nb"/>
        <w:rPr>
          <w:rFonts w:cs="Calibri"/>
        </w:rPr>
      </w:pPr>
      <w:r>
        <w:t>Ziel der Fortbildung ist die Weiterentwicklung des Unterrichts mit Blick auf die individuelle F</w:t>
      </w:r>
      <w:r>
        <w:t>ö</w:t>
      </w:r>
      <w:r>
        <w:t>rderung der Sch</w:t>
      </w:r>
      <w:r>
        <w:t>ü</w:t>
      </w:r>
      <w:r>
        <w:t>lerinnen und Sch</w:t>
      </w:r>
      <w:r>
        <w:t>ü</w:t>
      </w:r>
      <w:r>
        <w:t xml:space="preserve">ler, ihre Potenzialentfaltung und Kompetenzentwicklung. Die Fortbildung richtet sich an bestehende oder entstehende Teams in Schulen (z.B. Klassen- bzw. Jahrgangsstufenteams, Fachkonferenzen), die langfristig von Moderatorinnen und Moderatoren der Kompetenzteams begleitet werden. Die vier aufeinander aufbauenden Module der Fortbildung bestehen aus theoretischen Bausteinen, praktischen Trainingseinheiten und Reflexionen </w:t>
      </w:r>
      <w:r>
        <w:t>ü</w:t>
      </w:r>
      <w:r>
        <w:t>ber die Weiterentwicklung des Unterrichts im Umfang von 80 Stunden im Zeitraum von 2 Jahren. In diesem Prozess wird den Lehrkr</w:t>
      </w:r>
      <w:r>
        <w:t>ä</w:t>
      </w:r>
      <w:r>
        <w:t>ften Raum gegeben, eigene Sichtweisen einzubringen und diese in vertrauensvoller Atmosph</w:t>
      </w:r>
      <w:r>
        <w:t>ä</w:t>
      </w:r>
      <w:r>
        <w:t>re miteinander auszutauschen. Die Arbeit im Team soll M</w:t>
      </w:r>
      <w:r>
        <w:t>ö</w:t>
      </w:r>
      <w:r>
        <w:t>glichkeiten schaffen, der Verschiedenheit der Sch</w:t>
      </w:r>
      <w:r>
        <w:t>ü</w:t>
      </w:r>
      <w:r>
        <w:t>lerinnen und Sch</w:t>
      </w:r>
      <w:r>
        <w:t>ü</w:t>
      </w:r>
      <w:r>
        <w:t>ler besser gerecht zu werden und den Herausforderungen im Schulalltag gemeinsam zu begegnen.</w:t>
      </w:r>
    </w:p>
    <w:p w14:paraId="42D98921" w14:textId="77777777" w:rsidR="00491F6C" w:rsidRDefault="00491F6C">
      <w:pPr>
        <w:pStyle w:val="RVfliesstext175nb"/>
        <w:rPr>
          <w:rFonts w:cs="Calibri"/>
        </w:rPr>
      </w:pPr>
      <w:r>
        <w:t>1 Das Fortbildungsangebot umfasst folgende Module:</w:t>
      </w:r>
    </w:p>
    <w:p w14:paraId="2E6E9087" w14:textId="77777777" w:rsidR="00491F6C" w:rsidRDefault="00491F6C">
      <w:pPr>
        <w:pStyle w:val="RVfliesstext175nb"/>
      </w:pPr>
      <w:r>
        <w:rPr>
          <w:rStyle w:val="hf"/>
          <w:sz w:val="15"/>
        </w:rPr>
        <w:t>Modul 1:</w:t>
      </w:r>
      <w:r>
        <w:rPr>
          <w:rFonts w:cs="Calibri"/>
        </w:rPr>
        <w:t xml:space="preserve"> Kooperative Unterrichtsentwicklung durch kollegiale Teams</w:t>
      </w:r>
    </w:p>
    <w:p w14:paraId="62AB6734" w14:textId="77777777" w:rsidR="00491F6C" w:rsidRDefault="00491F6C">
      <w:pPr>
        <w:pStyle w:val="RVfliesstext175nb"/>
      </w:pPr>
      <w:r>
        <w:rPr>
          <w:rFonts w:cs="Calibri"/>
        </w:rPr>
        <w:t>Inhaltliche Schwerpunkte sind:</w:t>
      </w:r>
    </w:p>
    <w:p w14:paraId="64A31FC3" w14:textId="77777777" w:rsidR="00491F6C" w:rsidRDefault="00491F6C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Grundverst</w:t>
      </w:r>
      <w:r>
        <w:t>ä</w:t>
      </w:r>
      <w:r>
        <w:t>ndnis von Teambildung und Teamentwicklung</w:t>
      </w:r>
    </w:p>
    <w:p w14:paraId="61066EEE" w14:textId="77777777" w:rsidR="00491F6C" w:rsidRDefault="00491F6C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Gemeinsame Planung und Beobachtung von Unterricht (kollegiale Unterrichtshospitation)</w:t>
      </w:r>
    </w:p>
    <w:p w14:paraId="4EDA7A4D" w14:textId="77777777" w:rsidR="00491F6C" w:rsidRDefault="00491F6C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Planung, Reflexion und Evaluation von Unterrichtsentwicklungsprozessen</w:t>
      </w:r>
    </w:p>
    <w:p w14:paraId="2E92ADA5" w14:textId="77777777" w:rsidR="00491F6C" w:rsidRDefault="00491F6C">
      <w:pPr>
        <w:pStyle w:val="RVfliesstext175nb"/>
      </w:pPr>
      <w:r>
        <w:rPr>
          <w:rStyle w:val="hf"/>
          <w:sz w:val="15"/>
        </w:rPr>
        <w:t>Modul 2:</w:t>
      </w:r>
      <w:r>
        <w:rPr>
          <w:rFonts w:cs="Calibri"/>
        </w:rPr>
        <w:t xml:space="preserve"> Diagnostik: Identifizierung von Potenzialen und Interessen/ Evaluation</w:t>
      </w:r>
    </w:p>
    <w:p w14:paraId="4C1C6C55" w14:textId="77777777" w:rsidR="00491F6C" w:rsidRDefault="00491F6C">
      <w:pPr>
        <w:pStyle w:val="RVfliesstext175nb"/>
      </w:pPr>
      <w:r>
        <w:rPr>
          <w:rFonts w:cs="Calibri"/>
        </w:rPr>
        <w:t>Inhaltliche Schwerpunkte sind:</w:t>
      </w:r>
    </w:p>
    <w:p w14:paraId="7974C71A" w14:textId="77777777" w:rsidR="00491F6C" w:rsidRDefault="00491F6C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Kl</w:t>
      </w:r>
      <w:r>
        <w:t>ä</w:t>
      </w:r>
      <w:r>
        <w:t>rung diagnostischer Anl</w:t>
      </w:r>
      <w:r>
        <w:t>ä</w:t>
      </w:r>
      <w:r>
        <w:t>sse in Lernprozessen durch Lehrkr</w:t>
      </w:r>
      <w:r>
        <w:t>ä</w:t>
      </w:r>
      <w:r>
        <w:t>fte und Sch</w:t>
      </w:r>
      <w:r>
        <w:t>ü</w:t>
      </w:r>
      <w:r>
        <w:t>lerinnen und Sch</w:t>
      </w:r>
      <w:r>
        <w:t>ü</w:t>
      </w:r>
      <w:r>
        <w:t>lern</w:t>
      </w:r>
    </w:p>
    <w:p w14:paraId="10072290" w14:textId="77777777" w:rsidR="00491F6C" w:rsidRDefault="00491F6C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Gewinnung von diagnostischen Daten durch Lehrkr</w:t>
      </w:r>
      <w:r>
        <w:rPr>
          <w:rFonts w:cs="Calibri"/>
        </w:rPr>
        <w:t>ä</w:t>
      </w:r>
      <w:r>
        <w:rPr>
          <w:rFonts w:cs="Calibri"/>
        </w:rPr>
        <w:t>fte und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</w:t>
      </w:r>
    </w:p>
    <w:p w14:paraId="7CC5BA5D" w14:textId="77777777" w:rsidR="00491F6C" w:rsidRDefault="00491F6C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>hren von Beratungsgespr</w:t>
      </w:r>
      <w:r>
        <w:t>ä</w:t>
      </w:r>
      <w:r>
        <w:t>chen und Planung von Entwicklungsma</w:t>
      </w:r>
      <w:r>
        <w:t>ß</w:t>
      </w:r>
      <w:r>
        <w:t>nahmen zur Forderung und F</w:t>
      </w:r>
      <w:r>
        <w:t>ö</w:t>
      </w:r>
      <w:r>
        <w:t>rderung auf Basis der gewonnenen diagnostischen Daten</w:t>
      </w:r>
    </w:p>
    <w:p w14:paraId="488B69A3" w14:textId="77777777" w:rsidR="00491F6C" w:rsidRDefault="00491F6C">
      <w:pPr>
        <w:pStyle w:val="RVfliesstext175nb"/>
      </w:pPr>
      <w:r>
        <w:rPr>
          <w:rStyle w:val="hf"/>
          <w:sz w:val="15"/>
        </w:rPr>
        <w:t>Module 3 und 4:</w:t>
      </w:r>
      <w:r>
        <w:rPr>
          <w:rFonts w:cs="Calibri"/>
        </w:rPr>
        <w:t xml:space="preserve"> Didaktik: Lernen und Lehren - Potenziale f</w:t>
      </w:r>
      <w:r>
        <w:rPr>
          <w:rFonts w:cs="Calibri"/>
        </w:rPr>
        <w:t>ö</w:t>
      </w:r>
      <w:r>
        <w:rPr>
          <w:rFonts w:cs="Calibri"/>
        </w:rPr>
        <w:t>rdern und kompetenzorientiert unterrichten</w:t>
      </w:r>
    </w:p>
    <w:p w14:paraId="276062C4" w14:textId="77777777" w:rsidR="00491F6C" w:rsidRDefault="00491F6C">
      <w:pPr>
        <w:pStyle w:val="RVfliesstext175nb"/>
      </w:pPr>
      <w:r>
        <w:rPr>
          <w:rFonts w:cs="Calibri"/>
        </w:rPr>
        <w:t>Inhaltliche Schwerpunkte sind:</w:t>
      </w:r>
    </w:p>
    <w:p w14:paraId="37B9B6CC" w14:textId="77777777" w:rsidR="00491F6C" w:rsidRDefault="00491F6C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Lehrerrollen und ihre Funktionen im individualisierenden Unterricht (u.a. Lernprozessbegleitung)</w:t>
      </w:r>
    </w:p>
    <w:p w14:paraId="6AA66F6C" w14:textId="77777777" w:rsidR="00491F6C" w:rsidRDefault="00491F6C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Didaktische Prinzipien (u.a. selbstgesteuertes Lernen, Aufbau einer Feedback- und Beziehungskultur, reflexive Koedukation)</w:t>
      </w:r>
    </w:p>
    <w:p w14:paraId="0E0D6EBC" w14:textId="77777777" w:rsidR="00491F6C" w:rsidRDefault="00491F6C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Fachdidaktische Prinzipien (u.a. Aufgabenformate und Kompetenzraster, Formen der Leistungsbeurteilung).</w:t>
      </w:r>
    </w:p>
    <w:p w14:paraId="345DD660" w14:textId="77777777" w:rsidR="00491F6C" w:rsidRDefault="00491F6C">
      <w:pPr>
        <w:pStyle w:val="RVfliesstext175nb"/>
        <w:rPr>
          <w:rFonts w:cs="Calibri"/>
        </w:rPr>
      </w:pPr>
      <w:r>
        <w:t>2 Die Schulen verpflichten sich,</w:t>
      </w:r>
    </w:p>
    <w:p w14:paraId="0EF5DD92" w14:textId="77777777" w:rsidR="00491F6C" w:rsidRDefault="00491F6C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Unterrichtsentwicklung fokussiert auf individuelle F</w:t>
      </w:r>
      <w:r>
        <w:rPr>
          <w:rFonts w:cs="Calibri"/>
        </w:rPr>
        <w:t>ö</w:t>
      </w:r>
      <w:r>
        <w:rPr>
          <w:rFonts w:cs="Calibri"/>
        </w:rPr>
        <w:t xml:space="preserve">rderung </w:t>
      </w:r>
      <w:r>
        <w:rPr>
          <w:rFonts w:cs="Calibri"/>
        </w:rPr>
        <w:t>ü</w:t>
      </w:r>
      <w:r>
        <w:rPr>
          <w:rFonts w:cs="Calibri"/>
        </w:rPr>
        <w:t>ber die Dauer des begleiteten Fortbildungsprogramms zum Schwerpunkt gemeinsamer Fortbildungsaktivit</w:t>
      </w:r>
      <w:r>
        <w:rPr>
          <w:rFonts w:cs="Calibri"/>
        </w:rPr>
        <w:t>ä</w:t>
      </w:r>
      <w:r>
        <w:rPr>
          <w:rFonts w:cs="Calibri"/>
        </w:rPr>
        <w:t>ten zu machen</w:t>
      </w:r>
    </w:p>
    <w:p w14:paraId="0941E277" w14:textId="77777777" w:rsidR="00491F6C" w:rsidRDefault="00491F6C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 Gremium zur Unterrichtsentwicklung einzurichten oder ein bestehendes Gremium zu nutzen.</w:t>
      </w:r>
    </w:p>
    <w:p w14:paraId="3F999A17" w14:textId="77777777" w:rsidR="00491F6C" w:rsidRDefault="00491F6C">
      <w:pPr>
        <w:pStyle w:val="RVfliesstext175nb"/>
        <w:rPr>
          <w:rFonts w:cs="Calibri"/>
        </w:rPr>
      </w:pPr>
      <w:r>
        <w:t xml:space="preserve">3 </w:t>
      </w:r>
      <w:r>
        <w:t>„</w:t>
      </w:r>
      <w:r>
        <w:t>Vielfalt f</w:t>
      </w:r>
      <w:r>
        <w:t>ö</w:t>
      </w:r>
      <w:r>
        <w:t>rdern</w:t>
      </w:r>
      <w:r>
        <w:t>“</w:t>
      </w:r>
      <w:r>
        <w:t xml:space="preserve">-Schulen erhalten vier Anrechnungsstunden, die an die Fortbildung gebunden sind. Voraussetzung ist, dass sich Teams der Schule oder ganze Kollegien im Umfang von 80 Stunden </w:t>
      </w:r>
      <w:r>
        <w:t>ü</w:t>
      </w:r>
      <w:r>
        <w:t>ber einen Zeitraum von 2 Jahren fortbilden.</w:t>
      </w:r>
    </w:p>
    <w:p w14:paraId="02B93A4D" w14:textId="77777777" w:rsidR="00491F6C" w:rsidRDefault="00491F6C">
      <w:pPr>
        <w:pStyle w:val="RVfliesstext175nb"/>
        <w:rPr>
          <w:rFonts w:cs="Calibri"/>
        </w:rPr>
      </w:pPr>
      <w:r>
        <w:t>Ü</w:t>
      </w:r>
      <w:r>
        <w:t>ber die Grunds</w:t>
      </w:r>
      <w:r>
        <w:t>ä</w:t>
      </w:r>
      <w:r>
        <w:t>tze der Verteilung entscheidet die Lehrerkonferenz auf Vorschlag der Schulleitung (</w:t>
      </w:r>
      <w:r>
        <w:t>§</w:t>
      </w:r>
      <w:r>
        <w:t xml:space="preserve"> 68 SchulG). Die Verteilung im Einzelfall obliegt der Schulleitung (Nummer 2.5.2 AVO-RL - BASS 11-11 Nr. 1.1).</w:t>
      </w:r>
    </w:p>
    <w:p w14:paraId="16FE5C90" w14:textId="77777777" w:rsidR="00491F6C" w:rsidRDefault="00491F6C">
      <w:pPr>
        <w:pStyle w:val="RVfliesstext175nb"/>
        <w:rPr>
          <w:rFonts w:cs="Calibri"/>
        </w:rPr>
      </w:pPr>
      <w:r>
        <w:t>Die Anrechnungsstunden werden der Schule, je nach Beginn der Fortbildung, zum 01.02. oder 01.08. gew</w:t>
      </w:r>
      <w:r>
        <w:t>ä</w:t>
      </w:r>
      <w:r>
        <w:t>hrt.</w:t>
      </w:r>
    </w:p>
    <w:p w14:paraId="3731C9D2" w14:textId="77777777" w:rsidR="00491F6C" w:rsidRDefault="00491F6C">
      <w:pPr>
        <w:pStyle w:val="RVfliesstext175nb"/>
        <w:rPr>
          <w:rFonts w:cs="Calibri"/>
        </w:rPr>
      </w:pPr>
      <w:r>
        <w:t>Inhalt und Abfolge der Schwerpunkte der Module werden vor Beginn der Fortbildung verbindlich mit dem Kompetenzteam kontraktiert und an den Fortbildungsbedarf der Schule angepasst. Hierbei sind die Belange von teilzeitbesch</w:t>
      </w:r>
      <w:r>
        <w:t>ä</w:t>
      </w:r>
      <w:r>
        <w:t>ftigten Lehrerinnen und Lehrern besonders zu ber</w:t>
      </w:r>
      <w:r>
        <w:t>ü</w:t>
      </w:r>
      <w:r>
        <w:t>cksichtigen, um eine erfolgreiche Teilnahme entsprechend der reduzierten Pflichtstundenzahl zu gew</w:t>
      </w:r>
      <w:r>
        <w:t>ä</w:t>
      </w:r>
      <w:r>
        <w:t>hrleisten. So kann zum Beispiel vereinbart werden, dass der Transfer der Fortbildungsinhalte innerhalb der Schule unabh</w:t>
      </w:r>
      <w:r>
        <w:t>ä</w:t>
      </w:r>
      <w:r>
        <w:t>ngig von der Pr</w:t>
      </w:r>
      <w:r>
        <w:t>ä</w:t>
      </w:r>
      <w:r>
        <w:t>senz aller Teilnehmerinnen und Teilnehmer in einzelnen Veranstaltungen abgesichert ist.</w:t>
      </w:r>
    </w:p>
    <w:p w14:paraId="0C184F0A" w14:textId="77777777" w:rsidR="00491F6C" w:rsidRDefault="00491F6C">
      <w:pPr>
        <w:pStyle w:val="RVfliesstext175nb"/>
        <w:rPr>
          <w:rFonts w:cs="Calibri"/>
        </w:rPr>
      </w:pPr>
      <w:r>
        <w:t xml:space="preserve">4 Die Qualifizierung der Moderatorinnen und Moderatoren mit den Fortbildungsmaterialien </w:t>
      </w:r>
      <w:r>
        <w:t>„</w:t>
      </w:r>
      <w:r>
        <w:t>Vielfalt f</w:t>
      </w:r>
      <w:r>
        <w:t>ö</w:t>
      </w:r>
      <w:r>
        <w:t>rdern</w:t>
      </w:r>
      <w:r>
        <w:t>“</w:t>
      </w:r>
      <w:r>
        <w:t xml:space="preserve"> erfolgt in Zusammenarbeit zwischen der QUA-LiS NRW und den Dezernaten 46 der Bezirksregierungen auf der Basis des landesweit abgestimmten Qualifizierungskonzepts. Zur Sicherung der Qualit</w:t>
      </w:r>
      <w:r>
        <w:t>ä</w:t>
      </w:r>
      <w:r>
        <w:t>t des Unterst</w:t>
      </w:r>
      <w:r>
        <w:t>ü</w:t>
      </w:r>
      <w:r>
        <w:t>tzungsangebotes erfolgt bedarfsbezogen eine regelm</w:t>
      </w:r>
      <w:r>
        <w:t>äß</w:t>
      </w:r>
      <w:r>
        <w:t>ige R</w:t>
      </w:r>
      <w:r>
        <w:t>ü</w:t>
      </w:r>
      <w:r>
        <w:t>ckkopplung und Weiterqualifizierung auf der Basis landesweiter Vereinbarungen.</w:t>
      </w:r>
    </w:p>
    <w:p w14:paraId="1B9CECA1" w14:textId="77777777" w:rsidR="00491F6C" w:rsidRDefault="00491F6C">
      <w:pPr>
        <w:pStyle w:val="RVfliesstext175nb"/>
        <w:rPr>
          <w:rFonts w:cs="Calibri"/>
        </w:rPr>
      </w:pPr>
      <w:r>
        <w:t>Die Erlassregelung gilt f</w:t>
      </w:r>
      <w:r>
        <w:t>ü</w:t>
      </w:r>
      <w:r>
        <w:t>r Lehrkr</w:t>
      </w:r>
      <w:r>
        <w:t>ä</w:t>
      </w:r>
      <w:r>
        <w:t>fte an Grundschulen, F</w:t>
      </w:r>
      <w:r>
        <w:t>ö</w:t>
      </w:r>
      <w:r>
        <w:t>rderschulen und Schulen f</w:t>
      </w:r>
      <w:r>
        <w:t>ü</w:t>
      </w:r>
      <w:r>
        <w:t>r Kranke, Realschulen, Hauptschulen, Gymnasien und Weiterbildungskollegs unbefristet und f</w:t>
      </w:r>
      <w:r>
        <w:t>ü</w:t>
      </w:r>
      <w:r>
        <w:t>r Lehrkr</w:t>
      </w:r>
      <w:r>
        <w:t>ä</w:t>
      </w:r>
      <w:r>
        <w:t>fte an Gesamtschulen, Gemeinschaftsschulen, Sekundarschulen und Primusschulen befristet bis zum 31.07.2020.</w:t>
      </w:r>
    </w:p>
    <w:p w14:paraId="6E2EA697" w14:textId="77777777" w:rsidR="00491F6C" w:rsidRDefault="00491F6C">
      <w:pPr>
        <w:pStyle w:val="RVtabellenanker"/>
        <w:widowControl/>
      </w:pPr>
      <w:r>
        <w:rPr>
          <w:rFonts w:cs="Arial"/>
        </w:rPr>
        <w:t>Der Runderlass tritt sofort in Kraft.</w:t>
      </w:r>
    </w:p>
    <w:p w14:paraId="0EB9E159" w14:textId="77777777" w:rsidR="00491F6C" w:rsidRDefault="00491F6C">
      <w:pPr>
        <w:pStyle w:val="RVfliesstext175nb"/>
      </w:pPr>
    </w:p>
    <w:p w14:paraId="0C06DBCB" w14:textId="77777777" w:rsidR="00491F6C" w:rsidRDefault="00491F6C">
      <w:pPr>
        <w:pStyle w:val="RVfliesstext175nb"/>
        <w:jc w:val="right"/>
      </w:pPr>
      <w:r>
        <w:rPr>
          <w:rFonts w:cs="Calibri"/>
        </w:rPr>
        <w:t>ABl. NRW. 05/2018 S. 34</w:t>
      </w:r>
    </w:p>
    <w:p w14:paraId="7E2AA0A8" w14:textId="77777777" w:rsidR="00491F6C" w:rsidRDefault="00491F6C">
      <w:pPr>
        <w:pStyle w:val="RVfliesstext175nb"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E573A" w14:textId="77777777" w:rsidR="00491F6C" w:rsidRDefault="00491F6C">
      <w:r>
        <w:separator/>
      </w:r>
    </w:p>
  </w:endnote>
  <w:endnote w:type="continuationSeparator" w:id="0">
    <w:p w14:paraId="0419B506" w14:textId="77777777" w:rsidR="00491F6C" w:rsidRDefault="0049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D2E7" w14:textId="77777777" w:rsidR="00491F6C" w:rsidRDefault="00491F6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cs="Arial"/>
        <w:color w:val="000000"/>
        <w:sz w:val="15"/>
      </w:rPr>
      <w:t>©</w:t>
    </w:r>
    <w:r>
      <w:rPr>
        <w:rFonts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ED70" w14:textId="77777777" w:rsidR="00491F6C" w:rsidRDefault="00491F6C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D121" w14:textId="77777777" w:rsidR="00491F6C" w:rsidRDefault="00491F6C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58E7F" w14:textId="77777777" w:rsidR="00491F6C" w:rsidRDefault="00491F6C">
      <w:r>
        <w:separator/>
      </w:r>
    </w:p>
  </w:footnote>
  <w:footnote w:type="continuationSeparator" w:id="0">
    <w:p w14:paraId="47739E56" w14:textId="77777777" w:rsidR="00491F6C" w:rsidRDefault="0049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5390"/>
    <w:rsid w:val="001D4CE3"/>
    <w:rsid w:val="00491F6C"/>
    <w:rsid w:val="004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A3CE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