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7C85" w14:textId="77777777" w:rsidR="006D571A" w:rsidRDefault="006D571A"/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45A76AF2" w14:textId="77777777">
        <w:trPr>
          <w:trHeight w:val="173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8DBD653" w14:textId="77777777" w:rsidR="006D571A" w:rsidRDefault="006D571A">
            <w:pPr>
              <w:pStyle w:val="RVtabellenanker"/>
            </w:pPr>
          </w:p>
          <w:p w14:paraId="24BA3074" w14:textId="77777777" w:rsidR="006D571A" w:rsidRDefault="006D571A">
            <w:pPr>
              <w:widowControl w:val="0"/>
              <w:spacing w:before="70" w:after="10" w:line="160" w:lineRule="exact"/>
              <w:jc w:val="both"/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Neufassung der Richtlinien zur Sicherheit im Unterricht an allgemeinbildenden Schulen in Nordrhein-Westfalen (RISU-NRW)</w:t>
            </w:r>
          </w:p>
          <w:p w14:paraId="15E1A730" w14:textId="77777777" w:rsidR="006D571A" w:rsidRDefault="006D571A">
            <w:pPr>
              <w:pStyle w:val="RVfliesstext175nb"/>
            </w:pPr>
            <w:r>
              <w:t>Mit Inkrafttreten der Neufassung der RISU-NRW wird die Richtlinie zur Sicherheit im Unterricht - Empfehlung der Kultusministerkonferenz i.d.F. vom 26.02.2016 - verbindlich umgesetzt. F</w:t>
            </w:r>
            <w:r>
              <w:t>ü</w:t>
            </w:r>
            <w:r>
              <w:t>r NRW gelten abweichend von der KMK-Fassung einige Erg</w:t>
            </w:r>
            <w:r>
              <w:t>ä</w:t>
            </w:r>
            <w:r>
              <w:t>nzungen und Pr</w:t>
            </w:r>
            <w:r>
              <w:t>ä</w:t>
            </w:r>
            <w:r>
              <w:t>zisierungen, die im nachstehenden Erlass aufgelistet sind.</w:t>
            </w:r>
          </w:p>
          <w:p w14:paraId="0CD79623" w14:textId="77777777" w:rsidR="006D571A" w:rsidRDefault="006D571A">
            <w:pPr>
              <w:pStyle w:val="RVfliesstext175nb"/>
            </w:pPr>
            <w:r>
              <w:t>Den Schulen werden nach Drucklegung die neuen Richtlinien in gebundener Form zur Verf</w:t>
            </w:r>
            <w:r>
              <w:t>ü</w:t>
            </w:r>
            <w:r>
              <w:t>gung gestellt.</w:t>
            </w:r>
          </w:p>
        </w:tc>
      </w:tr>
    </w:tbl>
    <w:p w14:paraId="42BEA287" w14:textId="77777777" w:rsidR="006D571A" w:rsidRDefault="006D571A">
      <w:pPr>
        <w:pStyle w:val="BASS-Nr-ABl"/>
      </w:pPr>
      <w:r>
        <w:t>Zu BASS 18-29 Nr. 5</w:t>
      </w:r>
    </w:p>
    <w:p w14:paraId="266DDC00" w14:textId="77777777" w:rsidR="006D571A" w:rsidRDefault="006D571A">
      <w:pPr>
        <w:pStyle w:val="RVueberschrift1100fz"/>
      </w:pPr>
      <w:r>
        <w:t xml:space="preserve">Richtlinien </w:t>
      </w:r>
      <w:r>
        <w:br/>
        <w:t xml:space="preserve">zur Sicherheit im Unterricht </w:t>
      </w:r>
      <w:r>
        <w:br/>
        <w:t xml:space="preserve">an allgemeinbildenden Schulen </w:t>
      </w:r>
      <w:r>
        <w:br/>
        <w:t xml:space="preserve">in Nordrhein-Westfalen </w:t>
      </w:r>
      <w:r>
        <w:br/>
        <w:t>(RISU-NRW); Neufassung</w:t>
      </w:r>
      <w:r w:rsidRPr="006D571A">
        <w:rPr>
          <w:rStyle w:val="Funotenzeichen"/>
        </w:rPr>
        <w:footnoteReference w:id="1"/>
      </w:r>
    </w:p>
    <w:p w14:paraId="5F9DC65D" w14:textId="77777777" w:rsidR="006D571A" w:rsidRDefault="006D571A">
      <w:pPr>
        <w:pStyle w:val="RVueberschrift285nz"/>
      </w:pPr>
      <w:r>
        <w:t>RdErl. des Ministeriums f</w:t>
      </w:r>
      <w:r>
        <w:t>ü</w:t>
      </w:r>
      <w:r>
        <w:t xml:space="preserve">r Schule und Weiterbildung </w:t>
      </w:r>
      <w:r>
        <w:br/>
        <w:t>v. 29.11.2016-523-6.08.01.16-116424</w:t>
      </w:r>
    </w:p>
    <w:p w14:paraId="42CFB9DF" w14:textId="77777777" w:rsidR="006D571A" w:rsidRDefault="006D571A">
      <w:pPr>
        <w:pStyle w:val="RVueberschrift285fz"/>
      </w:pPr>
      <w:r>
        <w:t>1 Allgemeines</w:t>
      </w:r>
    </w:p>
    <w:p w14:paraId="361A82EB" w14:textId="77777777" w:rsidR="006D571A" w:rsidRDefault="006D571A">
      <w:pPr>
        <w:pStyle w:val="RVfliesstext175nb"/>
      </w:pPr>
      <w:r>
        <w:t>Die Richtlinien zur Sicherheit im Unterricht an allgemeinbildenden Schulen in Nordrhein-Westfalen (RISU-NRW) gelten in den naturwissenschaftlichen F</w:t>
      </w:r>
      <w:r>
        <w:t>ä</w:t>
      </w:r>
      <w:r>
        <w:t>chern, in Technik, Arbeitslehre, Hauswirtschaft, Textilgestaltung, Kunst und Musik der allgemeinbildenden Schulen. Sie gelten auch f</w:t>
      </w:r>
      <w:r>
        <w:t>ü</w:t>
      </w:r>
      <w:r>
        <w:t>r weitere Unterrichtsveranstaltungen, in denen T</w:t>
      </w:r>
      <w:r>
        <w:t>ä</w:t>
      </w:r>
      <w:r>
        <w:t>tigkeiten ausge</w:t>
      </w:r>
      <w:r>
        <w:t>ü</w:t>
      </w:r>
      <w:r>
        <w:t>bt werden, bei denen diese Richtlinie anzuwenden ist.</w:t>
      </w:r>
    </w:p>
    <w:p w14:paraId="321D4238" w14:textId="77777777" w:rsidR="006D571A" w:rsidRDefault="006D571A">
      <w:pPr>
        <w:pStyle w:val="RVfliesstext175nb"/>
      </w:pPr>
      <w:r>
        <w:t>Die RISU-NRW setzen die Richtlinie zur Sicherheit im Unterricht - Empfehlung der Kultusministerkonferenz i.d.F. vom 26.02.2016 - in Nordrhein-Westfalen verbindlich um. Abweichend davon gelten einige Erg</w:t>
      </w:r>
      <w:r>
        <w:t>ä</w:t>
      </w:r>
      <w:r>
        <w:t>nzungen und Pr</w:t>
      </w:r>
      <w:r>
        <w:t>ä</w:t>
      </w:r>
      <w:r>
        <w:t>zisierungen, die unten aufgelistet sind.</w:t>
      </w:r>
    </w:p>
    <w:p w14:paraId="278237CF" w14:textId="77777777" w:rsidR="006D571A" w:rsidRDefault="006D571A">
      <w:pPr>
        <w:pStyle w:val="RVfliesstext175nb"/>
      </w:pPr>
      <w:r>
        <w:t>Entgegen der Aussage zum Geltungsbereich in der KMK-Fassung, wonach die RISU f</w:t>
      </w:r>
      <w:r>
        <w:t>ü</w:t>
      </w:r>
      <w:r>
        <w:t>r die berufs</w:t>
      </w:r>
      <w:r>
        <w:t>ü</w:t>
      </w:r>
      <w:r>
        <w:t>bergreifenden F</w:t>
      </w:r>
      <w:r>
        <w:t>ä</w:t>
      </w:r>
      <w:r>
        <w:t>cher berufsbildender/beruflicher Schulen gilt, ist festzustellen, dass dieses in Nordrhein-Westfalen aufgrund einer eigenst</w:t>
      </w:r>
      <w:r>
        <w:t>ä</w:t>
      </w:r>
      <w:r>
        <w:t>ndigen RISU-BK NRW (BASS 18-29 Nr. 7) nicht gilt.</w:t>
      </w:r>
    </w:p>
    <w:p w14:paraId="49A3D564" w14:textId="77777777" w:rsidR="006D571A" w:rsidRDefault="006D571A">
      <w:pPr>
        <w:pStyle w:val="RVfliesstext175nb"/>
      </w:pPr>
      <w:r>
        <w:t>In den genannten F</w:t>
      </w:r>
      <w:r>
        <w:t>ä</w:t>
      </w:r>
      <w:r>
        <w:t>chern ist neben der Gew</w:t>
      </w:r>
      <w:r>
        <w:t>ä</w:t>
      </w:r>
      <w:r>
        <w:t>hrleistung der Sicherheit die Sicherheitserziehung der Sch</w:t>
      </w:r>
      <w:r>
        <w:t>ü</w:t>
      </w:r>
      <w:r>
        <w:t>lerinnen und Sch</w:t>
      </w:r>
      <w:r>
        <w:t>ü</w:t>
      </w:r>
      <w:r>
        <w:t>ler eine wichtige Aufgabe. Sie sind bei jeder Gelegenheit zu einem sicherheitsgerechten Verhalten anzuhalten. Dazu ist es notwendig, dass sie an praktischen T</w:t>
      </w:r>
      <w:r>
        <w:t>ä</w:t>
      </w:r>
      <w:r>
        <w:t>tigkeiten und Versuchen im Unterricht beteiligt werden und daher zum Beispiel im naturwissenschaftlichen Unterricht auch selbst experimentieren. Den Sch</w:t>
      </w:r>
      <w:r>
        <w:t>ü</w:t>
      </w:r>
      <w:r>
        <w:t>lerinnen und Sch</w:t>
      </w:r>
      <w:r>
        <w:t>ü</w:t>
      </w:r>
      <w:r>
        <w:t>lern sollen die fachlichen Voraussetzungen f</w:t>
      </w:r>
      <w:r>
        <w:t>ü</w:t>
      </w:r>
      <w:r>
        <w:t>r einen sachgerechten Umgang mit Ger</w:t>
      </w:r>
      <w:r>
        <w:t>ä</w:t>
      </w:r>
      <w:r>
        <w:t>ten und Arbeits-/Gefahrstoffen vermittelt werden.</w:t>
      </w:r>
    </w:p>
    <w:p w14:paraId="2D3E4B53" w14:textId="77777777" w:rsidR="006D571A" w:rsidRDefault="006D571A">
      <w:pPr>
        <w:pStyle w:val="RVueberschrift285fz"/>
      </w:pPr>
      <w:r>
        <w:t>2 Verantwortlichkeiten</w:t>
      </w:r>
    </w:p>
    <w:p w14:paraId="49DC7B81" w14:textId="77777777" w:rsidR="006D571A" w:rsidRDefault="006D571A">
      <w:pPr>
        <w:pStyle w:val="RVfliesstext175nb"/>
      </w:pPr>
      <w:r>
        <w:t>F</w:t>
      </w:r>
      <w:r>
        <w:t>ü</w:t>
      </w:r>
      <w:r>
        <w:t xml:space="preserve">r die Beachtung der staatlichen Arbeitsschutzvorschriften an </w:t>
      </w:r>
      <w:r>
        <w:t>ö</w:t>
      </w:r>
      <w:r>
        <w:t>ffentlichen Schulen ist als Arbeitgeber das Land Nordrhein-Westfalen verantwortlich. Im Bereich der inneren Schulangelegenheiten liegt die Verantwortung f</w:t>
      </w:r>
      <w:r>
        <w:t>ü</w:t>
      </w:r>
      <w:r>
        <w:t xml:space="preserve">r den Arbeitsschutz nach </w:t>
      </w:r>
      <w:r>
        <w:t>§</w:t>
      </w:r>
      <w:r>
        <w:t xml:space="preserve"> 13 Absatz 1 Nummer 4 Arbeitsschutzgesetz (ArbSchG) bei den Schulleiterinnen und Schulleitern der Schulen (</w:t>
      </w:r>
      <w:r>
        <w:t>§</w:t>
      </w:r>
      <w:r>
        <w:t xml:space="preserve"> 59 Absatz 8 SchulG - BASS 1-1). Dazu geh</w:t>
      </w:r>
      <w:r>
        <w:t>ö</w:t>
      </w:r>
      <w:r>
        <w:t>rt es im Rahmen der inneren Schulangelegenheiten auch, die in der Schule t</w:t>
      </w:r>
      <w:r>
        <w:t>ä</w:t>
      </w:r>
      <w:r>
        <w:t>tigen Personen sowie andere Personen, die sich in der Schule aufhalten, vor entsprechenden Gef</w:t>
      </w:r>
      <w:r>
        <w:t>ä</w:t>
      </w:r>
      <w:r>
        <w:t>hrdungen zu sch</w:t>
      </w:r>
      <w:r>
        <w:t>ü</w:t>
      </w:r>
      <w:r>
        <w:t>tzen. Die Verantwortung der Schultr</w:t>
      </w:r>
      <w:r>
        <w:t>ä</w:t>
      </w:r>
      <w:r>
        <w:t>ger f</w:t>
      </w:r>
      <w:r>
        <w:t>ü</w:t>
      </w:r>
      <w:r>
        <w:t xml:space="preserve">r die </w:t>
      </w:r>
      <w:r>
        <w:t>ä</w:t>
      </w:r>
      <w:r>
        <w:t>u</w:t>
      </w:r>
      <w:r>
        <w:t>ß</w:t>
      </w:r>
      <w:r>
        <w:t>eren Schulangelegenheiten bleibt davon unber</w:t>
      </w:r>
      <w:r>
        <w:t>ü</w:t>
      </w:r>
      <w:r>
        <w:t>hrt (</w:t>
      </w:r>
      <w:r>
        <w:t>§</w:t>
      </w:r>
      <w:r>
        <w:t xml:space="preserve"> 79 SchulG).</w:t>
      </w:r>
    </w:p>
    <w:p w14:paraId="2A7AE13A" w14:textId="77777777" w:rsidR="006D571A" w:rsidRDefault="006D571A">
      <w:pPr>
        <w:pStyle w:val="RVfliesstext175nb"/>
      </w:pPr>
      <w:r>
        <w:t>Sollten Schulleiterinnen oder Schulleiter die Aufgaben des Bereiches f</w:t>
      </w:r>
      <w:r>
        <w:t>ü</w:t>
      </w:r>
      <w:r>
        <w:t>r die Gefahrstoffe nicht pers</w:t>
      </w:r>
      <w:r>
        <w:t>ö</w:t>
      </w:r>
      <w:r>
        <w:t>nlich wahrnehmen, k</w:t>
      </w:r>
      <w:r>
        <w:t>ö</w:t>
      </w:r>
      <w:r>
        <w:t>nnen sie die ihnen obliegenden Aufgaben in genau festzulegendem Umfang auf nur eine zuverl</w:t>
      </w:r>
      <w:r>
        <w:t>ä</w:t>
      </w:r>
      <w:r>
        <w:t>ssige und fachlich geeignete Lehrerin oder nur einen zuverl</w:t>
      </w:r>
      <w:r>
        <w:t>ä</w:t>
      </w:r>
      <w:r>
        <w:t>ssigen und fachlich geeigneten Lehrer (</w:t>
      </w:r>
      <w:r>
        <w:t>„</w:t>
      </w:r>
      <w:r>
        <w:t>Gefahrstoffbeauftragte/r</w:t>
      </w:r>
      <w:r>
        <w:t>“</w:t>
      </w:r>
      <w:r>
        <w:t xml:space="preserve">) in schriftlicher Form </w:t>
      </w:r>
      <w:r>
        <w:t>ü</w:t>
      </w:r>
      <w:r>
        <w:t xml:space="preserve">bertragen. Dies ist eine Beauftragung im Sinne des </w:t>
      </w:r>
      <w:r>
        <w:t>§</w:t>
      </w:r>
      <w:r>
        <w:t xml:space="preserve"> 13 Absatz 2 ArbSchG und schlie</w:t>
      </w:r>
      <w:r>
        <w:t>ß</w:t>
      </w:r>
      <w:r>
        <w:t xml:space="preserve">t die Weisungsbefugnis im Rahmen der </w:t>
      </w:r>
      <w:r>
        <w:t>ü</w:t>
      </w:r>
      <w:r>
        <w:t>bertragenen Pflichten ein. Die Beauftragung bedarf der Zustimmung der Lehrkraft. Insoweit nehmen Lehrerinnen und Lehrer, die selbst Besch</w:t>
      </w:r>
      <w:r>
        <w:t>ä</w:t>
      </w:r>
      <w:r>
        <w:t>ftigte im Sinne der Gefahrstoffverordnung sind, zugleich Aufgaben des Arbeitgebers in eigener Verantwortung wahr. Der Lehrkraft ist f</w:t>
      </w:r>
      <w:r>
        <w:t>ü</w:t>
      </w:r>
      <w:r>
        <w:t>r die Wahrnehmung dieser Aufgaben eine Entlastung durch die in der Leitungszeit zur Verf</w:t>
      </w:r>
      <w:r>
        <w:t>ü</w:t>
      </w:r>
      <w:r>
        <w:t>gung stehenden Stunden zu gew</w:t>
      </w:r>
      <w:r>
        <w:t>ä</w:t>
      </w:r>
      <w:r>
        <w:t>hren (vgl. RISU I - 3.2).</w:t>
      </w:r>
    </w:p>
    <w:p w14:paraId="471F2DFC" w14:textId="77777777" w:rsidR="006D571A" w:rsidRDefault="006D571A">
      <w:pPr>
        <w:pStyle w:val="RVueberschrift285fz"/>
      </w:pPr>
      <w:r>
        <w:t>3 Umsetzung</w:t>
      </w:r>
    </w:p>
    <w:p w14:paraId="1233F411" w14:textId="77777777" w:rsidR="006D571A" w:rsidRDefault="006D571A">
      <w:pPr>
        <w:pStyle w:val="RVfliesstext175nb"/>
      </w:pPr>
      <w:r>
        <w:t>Die RISU-NRW fasst die in den Schulen zu beachtenden einschl</w:t>
      </w:r>
      <w:r>
        <w:t>ä</w:t>
      </w:r>
      <w:r>
        <w:t>gigen Rechts- und Verwaltungsvorschriften (Stand Dezember 2015) zusammen und erl</w:t>
      </w:r>
      <w:r>
        <w:t>ä</w:t>
      </w:r>
      <w:r>
        <w:t>utert diese, so z. B. das Arbeitsschutzgesetz, die Biostoff-, Gefahrstoff-, CLP (Regulation on Classification, Labelling and Packaging of Substances and Mixtures)-, Betriebssicherheits-, R</w:t>
      </w:r>
      <w:r>
        <w:t>ö</w:t>
      </w:r>
      <w:r>
        <w:t>ntgen- und Strahlenschutzverordnung, die Arbeitsschutzverordnung zu k</w:t>
      </w:r>
      <w:r>
        <w:t>ü</w:t>
      </w:r>
      <w:r>
        <w:t>nstlicher optischer Strahlung, die L</w:t>
      </w:r>
      <w:r>
        <w:t>ä</w:t>
      </w:r>
      <w:r>
        <w:t xml:space="preserve">rm- und Vibrations-Arbeitsschutzverordnung, die </w:t>
      </w:r>
      <w:r>
        <w:t>Arbeitsst</w:t>
      </w:r>
      <w:r>
        <w:t>ä</w:t>
      </w:r>
      <w:r>
        <w:t>ttenverordnung, die Unfallverh</w:t>
      </w:r>
      <w:r>
        <w:t>ü</w:t>
      </w:r>
      <w:r>
        <w:t>tungsvorschriften und die technischen Regeln, wie z.B. TRGS (Technische Regeln Gefahrstoffe) und DIN-Normen.</w:t>
      </w:r>
    </w:p>
    <w:p w14:paraId="6E26E9A5" w14:textId="77777777" w:rsidR="006D571A" w:rsidRDefault="006D571A">
      <w:pPr>
        <w:pStyle w:val="RVfliesstext175nb"/>
      </w:pPr>
      <w:r>
        <w:t>Auf Grundlage des Arbeitsschutzgesetzes ist bei allen T</w:t>
      </w:r>
      <w:r>
        <w:t>ä</w:t>
      </w:r>
      <w:r>
        <w:t>tigkeiten mit m</w:t>
      </w:r>
      <w:r>
        <w:t>ö</w:t>
      </w:r>
      <w:r>
        <w:t>glicher Gef</w:t>
      </w:r>
      <w:r>
        <w:t>ä</w:t>
      </w:r>
      <w:r>
        <w:t>hrdung die Durchf</w:t>
      </w:r>
      <w:r>
        <w:t>ü</w:t>
      </w:r>
      <w:r>
        <w:t>hrung einer t</w:t>
      </w:r>
      <w:r>
        <w:t>ä</w:t>
      </w:r>
      <w:r>
        <w:t>tigkeitsbezogenen Gef</w:t>
      </w:r>
      <w:r>
        <w:t>ä</w:t>
      </w:r>
      <w:r>
        <w:t>hrdungsbeurteilung erforderlich. Darauf basierend m</w:t>
      </w:r>
      <w:r>
        <w:t>ü</w:t>
      </w:r>
      <w:r>
        <w:t>ssen notwendige Ma</w:t>
      </w:r>
      <w:r>
        <w:t>ß</w:t>
      </w:r>
      <w:r>
        <w:t>nahmen ermittelt und festgelegt werden.</w:t>
      </w:r>
    </w:p>
    <w:p w14:paraId="65DE44FE" w14:textId="77777777" w:rsidR="006D571A" w:rsidRDefault="006D571A">
      <w:pPr>
        <w:pStyle w:val="RVfliesstext175nb"/>
      </w:pPr>
      <w:r>
        <w:t>Bei der jetzigen Aktualisierung erfolgten Anpassungen an die aktuelle Rechtslage bez</w:t>
      </w:r>
      <w:r>
        <w:t>ü</w:t>
      </w:r>
      <w:r>
        <w:t>glich der Gefahrstoffverordnung, der Anwendung der CLP-Verordnung sowie der TRGS 510 (Lagerung von Gefahrstoffen). Weiterhin erfolgten Pr</w:t>
      </w:r>
      <w:r>
        <w:t>ä</w:t>
      </w:r>
      <w:r>
        <w:t>zisierungen und sprachliche Aussch</w:t>
      </w:r>
      <w:r>
        <w:t>ä</w:t>
      </w:r>
      <w:r>
        <w:t>rfungen.</w:t>
      </w:r>
    </w:p>
    <w:p w14:paraId="1B09AD67" w14:textId="77777777" w:rsidR="006D571A" w:rsidRDefault="006D571A">
      <w:pPr>
        <w:pStyle w:val="RVfliesstext175nb"/>
      </w:pPr>
      <w:r>
        <w:t>Die RISU-NRW ist in drei Teile und einen Anhang gegliedert:</w:t>
      </w:r>
    </w:p>
    <w:p w14:paraId="5D4DF5D3" w14:textId="77777777" w:rsidR="006D571A" w:rsidRDefault="006D571A">
      <w:pPr>
        <w:pStyle w:val="RVlisteflex275nb"/>
      </w:pPr>
      <w:r>
        <w:t>Teil I</w:t>
      </w:r>
      <w:r>
        <w:tab/>
      </w:r>
      <w:r>
        <w:tab/>
        <w:t>enth</w:t>
      </w:r>
      <w:r>
        <w:t>ä</w:t>
      </w:r>
      <w:r>
        <w:t>lt auf der Grundlage der einschl</w:t>
      </w:r>
      <w:r>
        <w:t>ä</w:t>
      </w:r>
      <w:r>
        <w:t>gigen Rechts- und Verwaltungsvorschriften die f</w:t>
      </w:r>
      <w:r>
        <w:t>ü</w:t>
      </w:r>
      <w:r>
        <w:t xml:space="preserve">r den oben genannten Geltungsbereich </w:t>
      </w:r>
      <w:r>
        <w:rPr>
          <w:rStyle w:val="hf"/>
          <w:sz w:val="15"/>
        </w:rPr>
        <w:t>verbindlichen Regelungen</w:t>
      </w:r>
      <w:r>
        <w:t>,</w:t>
      </w:r>
    </w:p>
    <w:p w14:paraId="12DC7C57" w14:textId="77777777" w:rsidR="006D571A" w:rsidRDefault="006D571A">
      <w:pPr>
        <w:pStyle w:val="RVlisteflex275nb"/>
      </w:pPr>
      <w:r>
        <w:t>Teil II</w:t>
      </w:r>
      <w:r>
        <w:tab/>
      </w:r>
      <w:r>
        <w:tab/>
        <w:t>enth</w:t>
      </w:r>
      <w:r>
        <w:t>ä</w:t>
      </w:r>
      <w:r>
        <w:t xml:space="preserve">lt </w:t>
      </w:r>
      <w:r>
        <w:rPr>
          <w:rStyle w:val="hf"/>
          <w:sz w:val="15"/>
        </w:rPr>
        <w:t>Hinweise und Ratschl</w:t>
      </w:r>
      <w:r>
        <w:rPr>
          <w:rStyle w:val="hf"/>
          <w:sz w:val="15"/>
        </w:rPr>
        <w:t>ä</w:t>
      </w:r>
      <w:r>
        <w:rPr>
          <w:rStyle w:val="hf"/>
          <w:sz w:val="15"/>
        </w:rPr>
        <w:t>ge</w:t>
      </w:r>
      <w:r>
        <w:t>, die Lehrkr</w:t>
      </w:r>
      <w:r>
        <w:t>ä</w:t>
      </w:r>
      <w:r>
        <w:t>ften sowie Sch</w:t>
      </w:r>
      <w:r>
        <w:t>ü</w:t>
      </w:r>
      <w:r>
        <w:t>lerinnen und Sch</w:t>
      </w:r>
      <w:r>
        <w:t>ü</w:t>
      </w:r>
      <w:r>
        <w:t>lern ein sicherheitsbewusstes und umweltgerechtes Verhalten in der t</w:t>
      </w:r>
      <w:r>
        <w:t>ä</w:t>
      </w:r>
      <w:r>
        <w:t>glichen Schulpraxis erleichtern,</w:t>
      </w:r>
    </w:p>
    <w:p w14:paraId="2F9AE388" w14:textId="77777777" w:rsidR="006D571A" w:rsidRDefault="006D571A">
      <w:pPr>
        <w:pStyle w:val="RVlisteflex275nb"/>
      </w:pPr>
      <w:r>
        <w:t>Teil III</w:t>
      </w:r>
      <w:r>
        <w:tab/>
      </w:r>
      <w:r>
        <w:tab/>
        <w:t>enth</w:t>
      </w:r>
      <w:r>
        <w:t>ä</w:t>
      </w:r>
      <w:r>
        <w:t xml:space="preserve">lt </w:t>
      </w:r>
      <w:r>
        <w:rPr>
          <w:rStyle w:val="hf"/>
          <w:sz w:val="15"/>
        </w:rPr>
        <w:t>Anlagen</w:t>
      </w:r>
      <w:r>
        <w:t xml:space="preserve"> zu den Teilen I und II,</w:t>
      </w:r>
    </w:p>
    <w:p w14:paraId="6417AEA6" w14:textId="77777777" w:rsidR="006D571A" w:rsidRDefault="006D571A">
      <w:pPr>
        <w:pStyle w:val="RVlisteflex275nb"/>
      </w:pPr>
      <w:r>
        <w:t>Anhang</w:t>
      </w:r>
      <w:r>
        <w:tab/>
      </w:r>
      <w:r>
        <w:tab/>
        <w:t>enth</w:t>
      </w:r>
      <w:r>
        <w:t>ä</w:t>
      </w:r>
      <w:r>
        <w:t>lt verbindliche Regelungen zum Strahlenschutz.</w:t>
      </w:r>
    </w:p>
    <w:p w14:paraId="7B93F2C3" w14:textId="77777777" w:rsidR="006D571A" w:rsidRDefault="006D571A">
      <w:pPr>
        <w:pStyle w:val="RVueberschrift285fz"/>
      </w:pPr>
      <w:r>
        <w:t>4 Erg</w:t>
      </w:r>
      <w:r>
        <w:t>ä</w:t>
      </w:r>
      <w:r>
        <w:t>nzungen und Pr</w:t>
      </w:r>
      <w:r>
        <w:t>ä</w:t>
      </w:r>
      <w:r>
        <w:t>zisierungen</w:t>
      </w:r>
    </w:p>
    <w:p w14:paraId="75D52895" w14:textId="77777777" w:rsidR="006D571A" w:rsidRDefault="006D571A">
      <w:pPr>
        <w:pStyle w:val="RVfliesstext175nb"/>
      </w:pPr>
      <w:r>
        <w:t>In NRW gelten abweichend von der RISU-KMK folgende Erg</w:t>
      </w:r>
      <w:r>
        <w:t>ä</w:t>
      </w:r>
      <w:r>
        <w:t>nzungen und Pr</w:t>
      </w:r>
      <w:r>
        <w:t>ä</w:t>
      </w:r>
      <w:r>
        <w:t>zisierungen:</w:t>
      </w:r>
    </w:p>
    <w:p w14:paraId="0D82E52D" w14:textId="77777777" w:rsidR="006D571A" w:rsidRDefault="006D571A">
      <w:pPr>
        <w:pStyle w:val="RVueberschrift275nul"/>
      </w:pPr>
      <w:r>
        <w:t>4.1 Gefahrstoffe</w:t>
      </w:r>
    </w:p>
    <w:p w14:paraId="719EAB5D" w14:textId="77777777" w:rsidR="006D571A" w:rsidRDefault="006D571A">
      <w:pPr>
        <w:pStyle w:val="RVlisteflex175nb"/>
      </w:pPr>
      <w:r>
        <w:t>zu I - 3.2</w:t>
      </w:r>
    </w:p>
    <w:p w14:paraId="6F20FB94" w14:textId="77777777" w:rsidR="006D571A" w:rsidRDefault="006D571A">
      <w:pPr>
        <w:pStyle w:val="RVfliesstext175nb"/>
      </w:pPr>
      <w:r>
        <w:t>siehe Nummer 2 (Verantwortlichkeiten) dieses Einf</w:t>
      </w:r>
      <w:r>
        <w:t>ü</w:t>
      </w:r>
      <w:r>
        <w:t>hrungserlasses</w:t>
      </w:r>
    </w:p>
    <w:p w14:paraId="5F605313" w14:textId="77777777" w:rsidR="006D571A" w:rsidRDefault="006D571A">
      <w:pPr>
        <w:pStyle w:val="RVlisteflex175nb"/>
      </w:pPr>
      <w:r>
        <w:t>zu I - 3.2.2</w:t>
      </w:r>
    </w:p>
    <w:p w14:paraId="0D5FF8EA" w14:textId="77777777" w:rsidR="006D571A" w:rsidRDefault="006D571A">
      <w:pPr>
        <w:pStyle w:val="RVfliesstext175nb"/>
      </w:pPr>
      <w:r>
        <w:t>Lehrkr</w:t>
      </w:r>
      <w:r>
        <w:t>ä</w:t>
      </w:r>
      <w:r>
        <w:t>fte sollen nur zu solchen Zeiten zur Pausenaufsicht eingesetzt werden, die nicht vor und nach Unterrichtsstunden liegen, in denen sie regelm</w:t>
      </w:r>
      <w:r>
        <w:t>äß</w:t>
      </w:r>
      <w:r>
        <w:t>ig T</w:t>
      </w:r>
      <w:r>
        <w:t>ä</w:t>
      </w:r>
      <w:r>
        <w:t>tigkeiten mit Gefahrstoffen ausf</w:t>
      </w:r>
      <w:r>
        <w:t>ü</w:t>
      </w:r>
      <w:r>
        <w:t>hren, damit Gefahrstoffe bereitgestellt und vorschriftsgerecht zur</w:t>
      </w:r>
      <w:r>
        <w:t>ü</w:t>
      </w:r>
      <w:r>
        <w:t>ckgestellt werden k</w:t>
      </w:r>
      <w:r>
        <w:t>ö</w:t>
      </w:r>
      <w:r>
        <w:t>nnen.</w:t>
      </w:r>
    </w:p>
    <w:p w14:paraId="35DCE9E6" w14:textId="77777777" w:rsidR="006D571A" w:rsidRDefault="006D571A">
      <w:pPr>
        <w:pStyle w:val="RVlisteflex175nb"/>
      </w:pPr>
      <w:r>
        <w:t>zu I - 3.5.3</w:t>
      </w:r>
    </w:p>
    <w:p w14:paraId="7705DB91" w14:textId="77777777" w:rsidR="006D571A" w:rsidRDefault="006D571A">
      <w:pPr>
        <w:pStyle w:val="RVfliesstext175nb"/>
      </w:pPr>
      <w:r>
        <w:t>Mit dem Verbot der Aufbewahrung von Pikrins</w:t>
      </w:r>
      <w:r>
        <w:t>ä</w:t>
      </w:r>
      <w:r>
        <w:t>ure ist auch das Verbot der Aufbewahrung von Pikrins</w:t>
      </w:r>
      <w:r>
        <w:t>ä</w:t>
      </w:r>
      <w:r>
        <w:t>urel</w:t>
      </w:r>
      <w:r>
        <w:t>ö</w:t>
      </w:r>
      <w:r>
        <w:t>sungen gemeint.</w:t>
      </w:r>
    </w:p>
    <w:p w14:paraId="36C540AA" w14:textId="77777777" w:rsidR="006D571A" w:rsidRDefault="006D571A">
      <w:pPr>
        <w:pStyle w:val="RVlisteflex175nb"/>
      </w:pPr>
      <w:r>
        <w:t>zu I - 3.6.2</w:t>
      </w:r>
    </w:p>
    <w:p w14:paraId="484E7E51" w14:textId="77777777" w:rsidR="006D571A" w:rsidRDefault="006D571A">
      <w:pPr>
        <w:pStyle w:val="RVfliesstext175nb"/>
      </w:pPr>
      <w:r>
        <w:t>Nicht zul</w:t>
      </w:r>
      <w:r>
        <w:t>ä</w:t>
      </w:r>
      <w:r>
        <w:t>ssig ist dar</w:t>
      </w:r>
      <w:r>
        <w:t>ü</w:t>
      </w:r>
      <w:r>
        <w:t>ber hinaus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der Jahrgangsstufen 10 bis 13 die Entnahme von Wasserstoff aus Druckgasflaschen oder -packungen.</w:t>
      </w:r>
    </w:p>
    <w:p w14:paraId="0650CAFC" w14:textId="77777777" w:rsidR="006D571A" w:rsidRDefault="006D571A">
      <w:pPr>
        <w:pStyle w:val="RVlisteflex175nb"/>
      </w:pPr>
      <w:r>
        <w:t>zu II - 1.3 und III - 8</w:t>
      </w:r>
    </w:p>
    <w:p w14:paraId="6487EC0D" w14:textId="77777777" w:rsidR="006D571A" w:rsidRDefault="006D571A">
      <w:pPr>
        <w:pStyle w:val="RVfliesstext175nb"/>
      </w:pPr>
      <w:r>
        <w:t>Die angegebenen Pr</w:t>
      </w:r>
      <w:r>
        <w:t>ü</w:t>
      </w:r>
      <w:r>
        <w:t>ffristen von drei Jahren f</w:t>
      </w:r>
      <w:r>
        <w:t>ü</w:t>
      </w:r>
      <w:r>
        <w:t>r Abz</w:t>
      </w:r>
      <w:r>
        <w:t>ü</w:t>
      </w:r>
      <w:r>
        <w:t>ge und Sicherheitsschr</w:t>
      </w:r>
      <w:r>
        <w:t>ä</w:t>
      </w:r>
      <w:r>
        <w:t>nke sind Maximalwerte. Es ist in jedem Fall im Rahmen der Gef</w:t>
      </w:r>
      <w:r>
        <w:t>ä</w:t>
      </w:r>
      <w:r>
        <w:t xml:space="preserve">hrdungsbeurteilung zu </w:t>
      </w:r>
      <w:r>
        <w:t>ü</w:t>
      </w:r>
      <w:r>
        <w:t>berpr</w:t>
      </w:r>
      <w:r>
        <w:t>ü</w:t>
      </w:r>
      <w:r>
        <w:t>fen, ob nicht k</w:t>
      </w:r>
      <w:r>
        <w:t>ü</w:t>
      </w:r>
      <w:r>
        <w:t>rzere Intervalle erforderlich sind. Hierbei gilt insbesondere Folgendes:</w:t>
      </w:r>
    </w:p>
    <w:p w14:paraId="4D77AC01" w14:textId="77777777" w:rsidR="006D571A" w:rsidRDefault="006D571A">
      <w:pPr>
        <w:pStyle w:val="RVliste3u75nl"/>
      </w:pPr>
      <w:r>
        <w:t>-</w:t>
      </w:r>
      <w:r>
        <w:tab/>
        <w:t>Die Herstellerangaben sind zu beachten.</w:t>
      </w:r>
    </w:p>
    <w:p w14:paraId="030E70D1" w14:textId="77777777" w:rsidR="006D571A" w:rsidRDefault="006D571A">
      <w:pPr>
        <w:pStyle w:val="RVliste3u75nl"/>
      </w:pPr>
      <w:r>
        <w:t>-</w:t>
      </w:r>
      <w:r>
        <w:tab/>
        <w:t>Die Pr</w:t>
      </w:r>
      <w:r>
        <w:t>ü</w:t>
      </w:r>
      <w:r>
        <w:t>ffrist f</w:t>
      </w:r>
      <w:r>
        <w:t>ü</w:t>
      </w:r>
      <w:r>
        <w:t>r Abz</w:t>
      </w:r>
      <w:r>
        <w:t>ü</w:t>
      </w:r>
      <w:r>
        <w:t>ge betr</w:t>
      </w:r>
      <w:r>
        <w:t>ä</w:t>
      </w:r>
      <w:r>
        <w:t>gt nur dann drei Jahre, wenn die Abz</w:t>
      </w:r>
      <w:r>
        <w:t>ü</w:t>
      </w:r>
      <w:r>
        <w:t xml:space="preserve">ge </w:t>
      </w:r>
      <w:r>
        <w:t>ü</w:t>
      </w:r>
      <w:r>
        <w:t>ber eine selbst</w:t>
      </w:r>
      <w:r>
        <w:t>ü</w:t>
      </w:r>
      <w:r>
        <w:t>berwachende optische und akustische Warneinrichtung verf</w:t>
      </w:r>
      <w:r>
        <w:t>ü</w:t>
      </w:r>
      <w:r>
        <w:t>gen. Dies wird in den wenigsten Schulen der Fall sein. Die h</w:t>
      </w:r>
      <w:r>
        <w:t>ä</w:t>
      </w:r>
      <w:r>
        <w:t>ufig in Schulen vorkommenden optischen und akustischen Warneinrichtungen sind in der Regel nicht selbst</w:t>
      </w:r>
      <w:r>
        <w:t>ü</w:t>
      </w:r>
      <w:r>
        <w:t>berwachend und erf</w:t>
      </w:r>
      <w:r>
        <w:t>ü</w:t>
      </w:r>
      <w:r>
        <w:t>llen daher diese Bedingung nicht. Ohne diese Einrichtung betr</w:t>
      </w:r>
      <w:r>
        <w:t>ä</w:t>
      </w:r>
      <w:r>
        <w:t>gt die Pr</w:t>
      </w:r>
      <w:r>
        <w:t>ü</w:t>
      </w:r>
      <w:r>
        <w:t>ffrist ein Jahr. Vgl. Nummer 7.3 TRGS 526.</w:t>
      </w:r>
    </w:p>
    <w:p w14:paraId="5C0ABC38" w14:textId="77777777" w:rsidR="006D571A" w:rsidRDefault="006D571A">
      <w:pPr>
        <w:pStyle w:val="RVueberschrift275nul"/>
      </w:pPr>
      <w:r>
        <w:t>4.2 Technik</w:t>
      </w:r>
    </w:p>
    <w:p w14:paraId="22E39653" w14:textId="77777777" w:rsidR="006D571A" w:rsidRDefault="006D571A">
      <w:pPr>
        <w:pStyle w:val="RVfliesstext175nb"/>
      </w:pPr>
      <w:r>
        <w:t>F</w:t>
      </w:r>
      <w:r>
        <w:t>ü</w:t>
      </w:r>
      <w:r>
        <w:t>r den Unterricht im Fach Technik in der gymnasialen Oberstufe wird in Erg</w:t>
      </w:r>
      <w:r>
        <w:t>ä</w:t>
      </w:r>
      <w:r>
        <w:t>nzung der fachbezogenen Hinweise und Ratschl</w:t>
      </w:r>
      <w:r>
        <w:t>ä</w:t>
      </w:r>
      <w:r>
        <w:t>ge - Technik/Arbeitslehre Kap. II - 5 zus</w:t>
      </w:r>
      <w:r>
        <w:t>ä</w:t>
      </w:r>
      <w:r>
        <w:t>tzlich besonders hingewiesen auf:</w:t>
      </w:r>
    </w:p>
    <w:p w14:paraId="100AC0CD" w14:textId="77777777" w:rsidR="006D571A" w:rsidRDefault="006D571A">
      <w:pPr>
        <w:pStyle w:val="RVlisteflex175nb"/>
      </w:pPr>
      <w:r>
        <w:t>zu II - 1.4</w:t>
      </w:r>
      <w:r>
        <w:tab/>
      </w:r>
      <w:r>
        <w:tab/>
      </w:r>
      <w:r>
        <w:tab/>
        <w:t>Versuchsaufbauten, Umgang mit Glasger</w:t>
      </w:r>
      <w:r>
        <w:t>ä</w:t>
      </w:r>
      <w:r>
        <w:t>ten und Stativen</w:t>
      </w:r>
    </w:p>
    <w:p w14:paraId="0793395D" w14:textId="77777777" w:rsidR="006D571A" w:rsidRDefault="006D571A">
      <w:pPr>
        <w:pStyle w:val="RVlisteflex175nb"/>
      </w:pPr>
      <w:r>
        <w:t>zu II - 1.5.2</w:t>
      </w:r>
      <w:r>
        <w:tab/>
      </w:r>
      <w:r>
        <w:tab/>
      </w:r>
      <w:r>
        <w:tab/>
        <w:t>Gef</w:t>
      </w:r>
      <w:r>
        <w:t>ä</w:t>
      </w:r>
      <w:r>
        <w:t>hrdungen bei sonstigen W</w:t>
      </w:r>
      <w:r>
        <w:t>ä</w:t>
      </w:r>
      <w:r>
        <w:t>rmequellen</w:t>
      </w:r>
    </w:p>
    <w:p w14:paraId="360C63CD" w14:textId="77777777" w:rsidR="006D571A" w:rsidRDefault="006D571A">
      <w:pPr>
        <w:pStyle w:val="RVlisteflex175nb"/>
      </w:pPr>
      <w:r>
        <w:t>zu II - 1.5.5</w:t>
      </w:r>
      <w:r>
        <w:tab/>
      </w:r>
      <w:r>
        <w:tab/>
      </w:r>
      <w:r>
        <w:tab/>
        <w:t>Hei</w:t>
      </w:r>
      <w:r>
        <w:t>ß</w:t>
      </w:r>
      <w:r>
        <w:t>luftgebl</w:t>
      </w:r>
      <w:r>
        <w:t>ä</w:t>
      </w:r>
      <w:r>
        <w:t>se</w:t>
      </w:r>
    </w:p>
    <w:p w14:paraId="145D8019" w14:textId="77777777" w:rsidR="006D571A" w:rsidRDefault="006D571A">
      <w:pPr>
        <w:pStyle w:val="RVlisteflex175nb"/>
      </w:pPr>
      <w:r>
        <w:t>zu II - 1.6.1</w:t>
      </w:r>
      <w:r>
        <w:tab/>
      </w:r>
      <w:r>
        <w:tab/>
      </w:r>
      <w:r>
        <w:tab/>
        <w:t>Erhitzen von Fl</w:t>
      </w:r>
      <w:r>
        <w:t>ü</w:t>
      </w:r>
      <w:r>
        <w:t>ssigkeiten</w:t>
      </w:r>
    </w:p>
    <w:p w14:paraId="620803A4" w14:textId="77777777" w:rsidR="006D571A" w:rsidRDefault="006D571A">
      <w:pPr>
        <w:pStyle w:val="RVlisteflex175nb"/>
      </w:pPr>
      <w:r>
        <w:t>zu II - 1.6.2</w:t>
      </w:r>
      <w:r>
        <w:tab/>
      </w:r>
      <w:r>
        <w:tab/>
      </w:r>
      <w:r>
        <w:tab/>
        <w:t>Destillation</w:t>
      </w:r>
    </w:p>
    <w:p w14:paraId="68808C22" w14:textId="77777777" w:rsidR="006D571A" w:rsidRDefault="006D571A">
      <w:pPr>
        <w:pStyle w:val="RVlisteflex175nb"/>
      </w:pPr>
      <w:r>
        <w:t>zu II - 2.2.2</w:t>
      </w:r>
      <w:r>
        <w:tab/>
      </w:r>
      <w:r>
        <w:tab/>
      </w:r>
      <w:r>
        <w:tab/>
        <w:t>Gemische aus entz</w:t>
      </w:r>
      <w:r>
        <w:t>ü</w:t>
      </w:r>
      <w:r>
        <w:t>ndbaren Gasen bzw. D</w:t>
      </w:r>
      <w:r>
        <w:t>ä</w:t>
      </w:r>
      <w:r>
        <w:t>mpfen mit Luft oder Sauerstoff</w:t>
      </w:r>
    </w:p>
    <w:p w14:paraId="268CE139" w14:textId="77777777" w:rsidR="006D571A" w:rsidRDefault="006D571A">
      <w:pPr>
        <w:pStyle w:val="RVlisteflex175nb"/>
      </w:pPr>
      <w:r>
        <w:t>zu II - 2.3</w:t>
      </w:r>
      <w:r>
        <w:tab/>
      </w:r>
      <w:r>
        <w:tab/>
      </w:r>
      <w:r>
        <w:tab/>
        <w:t>Extrem und leicht entz</w:t>
      </w:r>
      <w:r>
        <w:t>ü</w:t>
      </w:r>
      <w:r>
        <w:t>ndbare Stoffe</w:t>
      </w:r>
    </w:p>
    <w:p w14:paraId="05A91EA1" w14:textId="77777777" w:rsidR="006D571A" w:rsidRDefault="006D571A">
      <w:pPr>
        <w:pStyle w:val="RVlisteflex175nb"/>
      </w:pPr>
      <w:r>
        <w:t>zu II - 4.4</w:t>
      </w:r>
      <w:r>
        <w:tab/>
      </w:r>
      <w:r>
        <w:tab/>
      </w:r>
      <w:r>
        <w:tab/>
        <w:t>Elektrizit</w:t>
      </w:r>
      <w:r>
        <w:t>ä</w:t>
      </w:r>
      <w:r>
        <w:t>tslehre, und zus</w:t>
      </w:r>
      <w:r>
        <w:t>ä</w:t>
      </w:r>
      <w:r>
        <w:t>tzlich:</w:t>
      </w:r>
    </w:p>
    <w:p w14:paraId="4408AE93" w14:textId="77777777" w:rsidR="006D571A" w:rsidRDefault="006D571A">
      <w:pPr>
        <w:pStyle w:val="RVfliesstext175nb"/>
      </w:pPr>
      <w:r>
        <w:t>Den Aufbau von Elektrolehrmaschinen (Motoren, Generatoren) besonders sorgf</w:t>
      </w:r>
      <w:r>
        <w:t>ä</w:t>
      </w:r>
      <w:r>
        <w:t>ltig planen und ausf</w:t>
      </w:r>
      <w:r>
        <w:t>ü</w:t>
      </w:r>
      <w:r>
        <w:t>hren. Falls die Gefahr besteht, dass Massenst</w:t>
      </w:r>
      <w:r>
        <w:t>ü</w:t>
      </w:r>
      <w:r>
        <w:t>cke wegfliegen, Schutzscheibe benutzen. Rotierende K</w:t>
      </w:r>
      <w:r>
        <w:t>ö</w:t>
      </w:r>
      <w:r>
        <w:t>rper nicht in Augenh</w:t>
      </w:r>
      <w:r>
        <w:t>ö</w:t>
      </w:r>
      <w:r>
        <w:t>he anordnen.</w:t>
      </w:r>
    </w:p>
    <w:p w14:paraId="1C1E1E10" w14:textId="77777777" w:rsidR="006D571A" w:rsidRDefault="006D571A">
      <w:pPr>
        <w:pStyle w:val="RVlisteflex175nb"/>
      </w:pPr>
      <w:r>
        <w:t>Erg</w:t>
      </w:r>
      <w:r>
        <w:t>ä</w:t>
      </w:r>
      <w:r>
        <w:t>nzung zu II - 5.6 Elektronische Schaltungen auf Platinen:</w:t>
      </w:r>
    </w:p>
    <w:p w14:paraId="4A740B6D" w14:textId="77777777" w:rsidR="006D571A" w:rsidRDefault="006D571A">
      <w:pPr>
        <w:pStyle w:val="RVfliesstext175nb"/>
      </w:pPr>
      <w:r>
        <w:t>F</w:t>
      </w:r>
      <w:r>
        <w:t>ü</w:t>
      </w:r>
      <w:r>
        <w:t>r den Umgang mit CNC-Fr</w:t>
      </w:r>
      <w:r>
        <w:t>ä</w:t>
      </w:r>
      <w:r>
        <w:t>seinrichtungen ist II - 5.1 (Holzbearbeitung mit Maschinen) auf kupferkaschiertes Platinenmaterial entsprechend anzuwenden.</w:t>
      </w:r>
    </w:p>
    <w:p w14:paraId="60E7369A" w14:textId="77777777" w:rsidR="006D571A" w:rsidRDefault="006D571A">
      <w:pPr>
        <w:pStyle w:val="RVfliesstext175nb"/>
      </w:pPr>
      <w:r>
        <w:t>Weiterhin gilt II - 5.3 L</w:t>
      </w:r>
      <w:r>
        <w:t>ä</w:t>
      </w:r>
      <w:r>
        <w:t>rm.</w:t>
      </w:r>
    </w:p>
    <w:p w14:paraId="2126A244" w14:textId="77777777" w:rsidR="006D571A" w:rsidRDefault="006D571A">
      <w:pPr>
        <w:pStyle w:val="RVfliesstext175nb"/>
      </w:pPr>
      <w:r>
        <w:t>Falls Unterrichtsr</w:t>
      </w:r>
      <w:r>
        <w:t>ä</w:t>
      </w:r>
      <w:r>
        <w:t>ume speziell f</w:t>
      </w:r>
      <w:r>
        <w:t>ü</w:t>
      </w:r>
      <w:r>
        <w:t>r den Unterricht im Fach Technik in der gymnasialen Oberstufe betrieben werden und keinen haupts</w:t>
      </w:r>
      <w:r>
        <w:t>ä</w:t>
      </w:r>
      <w:r>
        <w:t>chlichen Werkraumcharakter (vgl. I - 4.3 T</w:t>
      </w:r>
      <w:r>
        <w:t>ä</w:t>
      </w:r>
      <w:r>
        <w:t>tigkeiten mit Maschinen und Ger</w:t>
      </w:r>
      <w:r>
        <w:t>ä</w:t>
      </w:r>
      <w:r>
        <w:t>ten) aufweisen, sind die Fachraumanforderungen gleich mit III - 1.1 Naturwissenschaftlicher Unterrichtsraum.</w:t>
      </w:r>
    </w:p>
    <w:p w14:paraId="622BC8E4" w14:textId="77777777" w:rsidR="006D571A" w:rsidRDefault="006D571A">
      <w:pPr>
        <w:pStyle w:val="RVueberschrift275nul"/>
      </w:pPr>
      <w:r>
        <w:lastRenderedPageBreak/>
        <w:t>4.3 Strahlenschutz</w:t>
      </w:r>
    </w:p>
    <w:p w14:paraId="44C6C9E4" w14:textId="77777777" w:rsidR="006D571A" w:rsidRDefault="006D571A">
      <w:pPr>
        <w:pStyle w:val="RVfliesstext175nb"/>
      </w:pPr>
      <w:r>
        <w:t>Die Regelungen zur Strahlenschutz- und zur R</w:t>
      </w:r>
      <w:r>
        <w:t>ö</w:t>
      </w:r>
      <w:r>
        <w:t>ntgenverordnung befinden sich im Anhang. Diese sind verbindlich f</w:t>
      </w:r>
      <w:r>
        <w:t>ü</w:t>
      </w:r>
      <w:r>
        <w:t>r Nordrhein-Westfalen.</w:t>
      </w:r>
    </w:p>
    <w:p w14:paraId="193BFB5C" w14:textId="77777777" w:rsidR="006D571A" w:rsidRDefault="006D571A">
      <w:pPr>
        <w:pStyle w:val="RVueberschrift285fz"/>
      </w:pPr>
      <w:r>
        <w:t>5 Schlussbestimmungen</w:t>
      </w:r>
    </w:p>
    <w:p w14:paraId="2D26AF7F" w14:textId="77777777" w:rsidR="006D571A" w:rsidRDefault="006D571A">
      <w:pPr>
        <w:pStyle w:val="RVfliesstext175nb"/>
      </w:pPr>
      <w:r>
        <w:t>Die Ver</w:t>
      </w:r>
      <w:r>
        <w:t>ö</w:t>
      </w:r>
      <w:r>
        <w:t xml:space="preserve">ffentlichung erfolgt als Heft 1031/1 in der Schriftenreihe </w:t>
      </w:r>
      <w:r>
        <w:t>„</w:t>
      </w:r>
      <w:r>
        <w:t>Schule in NRW</w:t>
      </w:r>
      <w:r>
        <w:t>“</w:t>
      </w:r>
      <w:r>
        <w:t xml:space="preserve">. Die vom Verlag </w:t>
      </w:r>
      <w:r>
        <w:t>ü</w:t>
      </w:r>
      <w:r>
        <w:t>bersandten Hefte sind f</w:t>
      </w:r>
      <w:r>
        <w:t>ü</w:t>
      </w:r>
      <w:r>
        <w:t>r Fachkolleginnen und Fachkollegen wie auch f</w:t>
      </w:r>
      <w:r>
        <w:t>ü</w:t>
      </w:r>
      <w:r>
        <w:t>r die Mitwirkungsorgane zur Einsichtnahme und Ausleihe verf</w:t>
      </w:r>
      <w:r>
        <w:t>ü</w:t>
      </w:r>
      <w:r>
        <w:t>gbar zu machen.</w:t>
      </w:r>
    </w:p>
    <w:p w14:paraId="40276205" w14:textId="77777777" w:rsidR="006D571A" w:rsidRDefault="006D571A">
      <w:pPr>
        <w:pStyle w:val="RVfliesstext175nb"/>
      </w:pPr>
      <w:r>
        <w:t>Der RdErl. des Ministeriums f</w:t>
      </w:r>
      <w:r>
        <w:t>ü</w:t>
      </w:r>
      <w:r>
        <w:t>r Schule und Weiterbildung des Landes Nordrhein-Westfalen vom 23.05.2014 (BASS 18-29 Nr. 5) wird aufgehoben.</w:t>
      </w:r>
    </w:p>
    <w:p w14:paraId="41E82D36" w14:textId="77777777" w:rsidR="006D571A" w:rsidRDefault="006D571A">
      <w:pPr>
        <w:pStyle w:val="RVfliesstext175nb"/>
      </w:pPr>
    </w:p>
    <w:p w14:paraId="031B50D4" w14:textId="77777777" w:rsidR="006D571A" w:rsidRDefault="006D571A">
      <w:pPr>
        <w:pStyle w:val="RVfliesstext175nb"/>
        <w:jc w:val="right"/>
      </w:pPr>
      <w:r>
        <w:t>ABl. NRW. 03/2017 S. 43</w:t>
      </w:r>
    </w:p>
    <w:p w14:paraId="49F8912F" w14:textId="77777777" w:rsidR="006D571A" w:rsidRDefault="006D571A">
      <w:pPr>
        <w:pStyle w:val="RVfliesstext175nb"/>
      </w:pPr>
    </w:p>
    <w:p w14:paraId="5FE68C72" w14:textId="77777777" w:rsidR="006D571A" w:rsidRDefault="006D571A">
      <w:pPr>
        <w:pStyle w:val="RVfliesstext175nb"/>
      </w:pPr>
    </w:p>
    <w:sectPr w:rsidR="00000000">
      <w:footerReference w:type="default" r:id="rId6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ED919" w14:textId="77777777" w:rsidR="006D571A" w:rsidRDefault="006D571A">
      <w:r>
        <w:separator/>
      </w:r>
    </w:p>
  </w:endnote>
  <w:endnote w:type="continuationSeparator" w:id="0">
    <w:p w14:paraId="6AD2D0BD" w14:textId="77777777" w:rsidR="006D571A" w:rsidRDefault="006D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24B4" w14:textId="77777777" w:rsidR="006D571A" w:rsidRDefault="006D57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25E1" w14:textId="77777777" w:rsidR="006D571A" w:rsidRDefault="006D571A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632D590C" w14:textId="77777777" w:rsidR="006D571A" w:rsidRDefault="006D571A">
      <w:r>
        <w:continuationSeparator/>
      </w:r>
    </w:p>
  </w:footnote>
  <w:footnote w:id="1">
    <w:p w14:paraId="1D2E077E" w14:textId="77777777" w:rsidR="006D571A" w:rsidRDefault="006D571A">
      <w:pPr>
        <w:pStyle w:val="RVFudfnote160kb"/>
      </w:pPr>
      <w:r w:rsidRPr="006D571A">
        <w:rPr>
          <w:rStyle w:val="Funotenzeichen"/>
          <w:rFonts w:eastAsiaTheme="minorEastAsia"/>
        </w:rPr>
        <w:footnoteRef/>
      </w:r>
      <w:r>
        <w:tab/>
        <w:t xml:space="preserve"> Diese Fassung ist au</w:t>
      </w:r>
      <w:r>
        <w:t>ß</w:t>
      </w:r>
      <w:r>
        <w:t xml:space="preserve">er Kraft gesetzt. Die aktuelle Fassung der RISU NRW finden Sie hier: </w:t>
      </w:r>
      <w:hyperlink r:id="rId1" w:history="1">
        <w:r>
          <w:rPr>
            <w:lang w:eastAsia="en-US" w:bidi="ar-SA"/>
          </w:rPr>
          <w:t>https://bass.schul-welt.de/16780.htm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E46FB"/>
    <w:rsid w:val="004E46FB"/>
    <w:rsid w:val="006D571A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A699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b/>
      <w:bCs/>
      <w:color w:val="0000FF"/>
      <w:sz w:val="17"/>
      <w:szCs w:val="17"/>
    </w:rPr>
  </w:style>
  <w:style w:type="character" w:customStyle="1" w:styleId="blauundhf">
    <w:name w:val="blau und hf"/>
    <w:uiPriority w:val="99"/>
    <w:rPr>
      <w:b/>
      <w:bCs/>
      <w:color w:val="0000FF"/>
      <w:sz w:val="15"/>
      <w:szCs w:val="15"/>
    </w:rPr>
  </w:style>
  <w:style w:type="character" w:customStyle="1" w:styleId="blauundmager">
    <w:name w:val="blau und mager"/>
    <w:uiPriority w:val="99"/>
    <w:rPr>
      <w:color w:val="0000FF"/>
      <w:sz w:val="15"/>
      <w:szCs w:val="15"/>
    </w:rPr>
  </w:style>
  <w:style w:type="character" w:customStyle="1" w:styleId="FNhochgestellt">
    <w:name w:val="FN hochgestellt"/>
    <w:uiPriority w:val="99"/>
    <w:rPr>
      <w:sz w:val="15"/>
      <w:szCs w:val="15"/>
      <w:vertAlign w:val="superscript"/>
    </w:rPr>
  </w:style>
  <w:style w:type="character" w:customStyle="1" w:styleId="FNhochgestelltblau">
    <w:name w:val="FN hochgestellt blau"/>
    <w:uiPriority w:val="99"/>
    <w:rPr>
      <w:color w:val="0000FF"/>
      <w:sz w:val="15"/>
      <w:szCs w:val="15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FF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Fudfnotenzeichen">
    <w:name w:val="Fußdfnotenzeichen"/>
    <w:uiPriority w:val="99"/>
  </w:style>
  <w:style w:type="character" w:styleId="Hyperlink">
    <w:name w:val="Hyperlink"/>
    <w:basedOn w:val="Absatz-Standardschriftart"/>
    <w:uiPriority w:val="99"/>
    <w:rPr>
      <w:color w:val="00008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Lohit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Lohit Devanagari"/>
    </w:rPr>
  </w:style>
  <w:style w:type="paragraph" w:styleId="berarbeitung">
    <w:name w:val="Revision"/>
    <w:uiPriority w:val="99"/>
    <w:pPr>
      <w:suppressAutoHyphens/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autoSpaceDE w:val="0"/>
      <w:autoSpaceDN w:val="0"/>
      <w:adjustRightInd w:val="0"/>
      <w:spacing w:after="0" w:line="20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tabs>
        <w:tab w:val="left" w:pos="811"/>
      </w:tabs>
      <w:autoSpaceDE w:val="0"/>
      <w:autoSpaceDN w:val="0"/>
      <w:adjustRightInd w:val="0"/>
      <w:spacing w:after="0" w:line="200" w:lineRule="exact"/>
      <w:ind w:left="1" w:hanging="1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shd w:val="clear" w:color="auto" w:fill="CCCCCC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28432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styleId="Funotentext">
    <w:name w:val="footnote text"/>
    <w:basedOn w:val="Standard"/>
    <w:link w:val="FunotentextZchn"/>
    <w:uiPriority w:val="99"/>
    <w:pPr>
      <w:suppressLineNumbers/>
      <w:ind w:left="340" w:hanging="34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ss.schul-welt.de/16780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1256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