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908" w:rsidRDefault="00251908">
      <w:pPr>
        <w:pStyle w:val="BASS-Nr-ABl"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13-33 Nr. 1.2</w:t>
      </w:r>
    </w:p>
    <w:p w:rsidR="00251908" w:rsidRDefault="00251908">
      <w:pPr>
        <w:pStyle w:val="RVueberschrift1100fz"/>
        <w:keepNext/>
        <w:keepLines/>
      </w:pPr>
      <w:r>
        <w:rPr>
          <w:rFonts w:cs="Calibri"/>
        </w:rPr>
        <w:t xml:space="preserve">Bestimmungen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Beschulung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im F</w:t>
      </w:r>
      <w:r>
        <w:rPr>
          <w:rFonts w:cs="Calibri"/>
        </w:rPr>
        <w:t>ö</w:t>
      </w:r>
      <w:r>
        <w:rPr>
          <w:rFonts w:cs="Calibri"/>
        </w:rPr>
        <w:t xml:space="preserve">rderschwerpunkt Geistige Entwicklung </w:t>
      </w:r>
      <w:r>
        <w:rPr>
          <w:rFonts w:cs="Calibri"/>
        </w:rPr>
        <w:br/>
      </w:r>
      <w:r>
        <w:rPr>
          <w:rFonts w:cs="Calibri"/>
        </w:rPr>
        <w:t xml:space="preserve">an allgemeinen Berufskollegs im Bildungsgang Ausbildungsvorbereitung </w:t>
      </w:r>
      <w:r>
        <w:rPr>
          <w:rFonts w:cs="Calibri"/>
        </w:rPr>
        <w:br/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18 Anlage A APO-BK</w:t>
      </w:r>
    </w:p>
    <w:p w:rsidR="00251908" w:rsidRDefault="00251908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24.03.2017 - 313-6.08.06.07-138197</w:t>
      </w:r>
    </w:p>
    <w:p w:rsidR="00251908" w:rsidRDefault="00251908">
      <w:pPr>
        <w:pStyle w:val="RVfliesstext175fb"/>
      </w:pPr>
      <w:r>
        <w:rPr>
          <w:rFonts w:cs="Calibri"/>
        </w:rPr>
        <w:t>Bezug:</w:t>
      </w:r>
    </w:p>
    <w:p w:rsidR="00251908" w:rsidRDefault="00251908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19.06.2000 </w:t>
      </w:r>
      <w:r>
        <w:br/>
        <w:t>(BASS 13-33 Nr. 1.2), zuletzt ge</w:t>
      </w:r>
      <w:r>
        <w:t>ä</w:t>
      </w:r>
      <w:r>
        <w:t>ndert durch RdErl. v. 23.02.2017 (ABl. NRW. 04/17)</w:t>
      </w:r>
    </w:p>
    <w:p w:rsidR="00251908" w:rsidRDefault="00251908">
      <w:pPr>
        <w:pStyle w:val="RVfliesstext175nb"/>
        <w:rPr>
          <w:rFonts w:cs="Arial"/>
        </w:rPr>
      </w:pPr>
      <w:r>
        <w:t>Am 16. Oktober 2013 hat der nordrhein-westf</w:t>
      </w:r>
      <w:r>
        <w:t>ä</w:t>
      </w:r>
      <w:r>
        <w:t>lische Landtag das Erste Gesetz zur Umsetzung der VN-Behindertenrechtskonvention verabschiedet. Mit Wirkung vom 01. August 2016 haben Sch</w:t>
      </w:r>
      <w:r>
        <w:t>ü</w:t>
      </w:r>
      <w:r>
        <w:t>lerinnen und Sch</w:t>
      </w:r>
      <w:r>
        <w:t>ü</w:t>
      </w:r>
      <w:r>
        <w:t>ler im F</w:t>
      </w:r>
      <w:r>
        <w:t>ö</w:t>
      </w:r>
      <w:r>
        <w:t>rderschwerpunkt Geistige Entwicklung einen rechtlichen Anspruch, an einem allgemeinen Berufskolleg im Bildungsgang Ausbildungsvorbereitung gem</w:t>
      </w:r>
      <w:r>
        <w:t>äß</w:t>
      </w:r>
      <w:r>
        <w:t xml:space="preserve"> </w:t>
      </w:r>
      <w:r>
        <w:t>§</w:t>
      </w:r>
      <w:r>
        <w:t xml:space="preserve"> 18 Anlage A APO-BK bis zu drei Jahre beschult zu werden. </w:t>
      </w:r>
    </w:p>
    <w:p w:rsidR="00251908" w:rsidRDefault="00251908">
      <w:pPr>
        <w:pStyle w:val="RVfliesstext175nb"/>
        <w:rPr>
          <w:rFonts w:cs="Arial"/>
        </w:rPr>
      </w:pPr>
      <w:r>
        <w:t>Der Bezugserlass (VV zu Anlage A) wird wie folgt ge</w:t>
      </w:r>
      <w:r>
        <w:t>ä</w:t>
      </w:r>
      <w:r>
        <w:t>ndert:</w:t>
      </w:r>
    </w:p>
    <w:p w:rsidR="00251908" w:rsidRDefault="00251908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 xml:space="preserve">In der VV 18.1 zu </w:t>
      </w:r>
      <w:r>
        <w:rPr>
          <w:rFonts w:cs="Arial"/>
        </w:rPr>
        <w:t>§</w:t>
      </w:r>
      <w:r>
        <w:rPr>
          <w:rFonts w:cs="Arial"/>
        </w:rPr>
        <w:t xml:space="preserve"> 18 Absatz 1 wird folgender Absatz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:rsidR="00251908" w:rsidRDefault="00251908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dem F</w:t>
      </w:r>
      <w:r>
        <w:rPr>
          <w:rFonts w:cs="Arial"/>
        </w:rPr>
        <w:t>ö</w:t>
      </w:r>
      <w:r>
        <w:rPr>
          <w:rFonts w:cs="Arial"/>
        </w:rPr>
        <w:t>rderschwerpunkt Geistige Entwicklung dient der Schulbesuch der Vorbereitung auf eine Erwerbst</w:t>
      </w:r>
      <w:r>
        <w:rPr>
          <w:rFonts w:cs="Arial"/>
        </w:rPr>
        <w:t>ä</w:t>
      </w:r>
      <w:r>
        <w:rPr>
          <w:rFonts w:cs="Arial"/>
        </w:rPr>
        <w:t>tigkeit. Ein dem Hauptschulabschluss gleichwertiger Abschluss kann nicht erworben werden.</w:t>
      </w:r>
      <w:r>
        <w:rPr>
          <w:rFonts w:cs="Arial"/>
        </w:rPr>
        <w:t>“</w:t>
      </w:r>
    </w:p>
    <w:p w:rsidR="00251908" w:rsidRDefault="00251908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 xml:space="preserve">Die VV zu </w:t>
      </w:r>
      <w:r>
        <w:rPr>
          <w:rFonts w:cs="Calibri"/>
        </w:rPr>
        <w:t>§</w:t>
      </w:r>
      <w:r>
        <w:rPr>
          <w:rFonts w:cs="Calibri"/>
        </w:rPr>
        <w:t xml:space="preserve"> 19 erh</w:t>
      </w:r>
      <w:r>
        <w:rPr>
          <w:rFonts w:cs="Calibri"/>
        </w:rPr>
        <w:t>ä</w:t>
      </w:r>
      <w:r>
        <w:rPr>
          <w:rFonts w:cs="Calibri"/>
        </w:rPr>
        <w:t xml:space="preserve">lt folgende Nummer 19.1 zu Absatz 1: </w:t>
      </w:r>
    </w:p>
    <w:p w:rsidR="00251908" w:rsidRDefault="00251908">
      <w:pPr>
        <w:pStyle w:val="RVueberschrift285nz"/>
        <w:keepNext/>
        <w:keepLines/>
        <w:rPr>
          <w:rFonts w:cs="Arial"/>
        </w:rPr>
      </w:pPr>
      <w:r>
        <w:t>„</w:t>
      </w:r>
      <w:r>
        <w:t>19.1 zu Absatz 1</w:t>
      </w:r>
    </w:p>
    <w:p w:rsidR="00251908" w:rsidRDefault="00251908">
      <w:pPr>
        <w:pStyle w:val="RVfliesstext175nb"/>
        <w:rPr>
          <w:rFonts w:cs="Arial"/>
        </w:rPr>
      </w:pPr>
      <w:r>
        <w:t>Sch</w:t>
      </w:r>
      <w:r>
        <w:t>ü</w:t>
      </w:r>
      <w:r>
        <w:t>lerinnen und Sch</w:t>
      </w:r>
      <w:r>
        <w:t>ü</w:t>
      </w:r>
      <w:r>
        <w:t>ler mit dem F</w:t>
      </w:r>
      <w:r>
        <w:t>ö</w:t>
      </w:r>
      <w:r>
        <w:t>rderschwerpunkt Geistige Entwicklung k</w:t>
      </w:r>
      <w:r>
        <w:t>ö</w:t>
      </w:r>
      <w:r>
        <w:t>nnen bis zu drei Jahre im Bildungsgang Ausbildungsvorbereitung unterrichtet werden.</w:t>
      </w:r>
      <w:r>
        <w:t>“</w:t>
      </w:r>
    </w:p>
    <w:p w:rsidR="00251908" w:rsidRDefault="00251908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In der VV </w:t>
      </w:r>
      <w:r>
        <w:t>§</w:t>
      </w:r>
      <w:r>
        <w:t xml:space="preserve"> 23.1.1 zu </w:t>
      </w:r>
      <w:r>
        <w:t>§</w:t>
      </w:r>
      <w:r>
        <w:t xml:space="preserve"> 23 wird folgender 2. Satz angef</w:t>
      </w:r>
      <w:r>
        <w:t>ü</w:t>
      </w:r>
      <w:r>
        <w:t xml:space="preserve">gt: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mit dem F</w:t>
      </w:r>
      <w:r>
        <w:t>ö</w:t>
      </w:r>
      <w:r>
        <w:t>rderschwerpunkt Geistige Entwicklung erhalten am Ende des Schuljahres ein Zeugnis. Die Klassenkonferenz entscheidet dar</w:t>
      </w:r>
      <w:r>
        <w:t>ü</w:t>
      </w:r>
      <w:r>
        <w:t>ber, ob die Sch</w:t>
      </w:r>
      <w:r>
        <w:t>ü</w:t>
      </w:r>
      <w:r>
        <w:t>lerin oder der Sch</w:t>
      </w:r>
      <w:r>
        <w:t>ü</w:t>
      </w:r>
      <w:r>
        <w:t>ler ein weiteres Jahr im Bildungsgang Ausbildungsvorbereitung beschult werden kann.</w:t>
      </w:r>
      <w:r>
        <w:t>“</w:t>
      </w:r>
    </w:p>
    <w:p w:rsidR="00251908" w:rsidRDefault="00251908">
      <w:pPr>
        <w:pStyle w:val="RVliste3n75nb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>Anlage A 2.3 - Seiten 1 bis 3 -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:rsidR="00251908" w:rsidRDefault="00251908">
      <w:pPr>
        <w:pStyle w:val="RVtabellenanker"/>
        <w:widowControl/>
        <w:rPr>
          <w:rFonts w:cs="Calibri"/>
        </w:rPr>
      </w:pPr>
    </w:p>
    <w:p w:rsidR="00251908" w:rsidRDefault="0025190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Arial"/>
        </w:rPr>
      </w:pPr>
      <w:r>
        <w:rPr>
          <w:rFonts w:cs="Arial"/>
        </w:rPr>
        <w:t xml:space="preserve">Anlage A 2.3 </w:t>
      </w:r>
      <w:r>
        <w:rPr>
          <w:rStyle w:val="mager"/>
          <w:rFonts w:cs="Calibri"/>
          <w:b w:val="0"/>
        </w:rPr>
        <w:t>- Seite 1 -</w:t>
      </w:r>
    </w:p>
    <w:p w:rsidR="00251908" w:rsidRDefault="00251908">
      <w:pPr>
        <w:pStyle w:val="RVAnlagenabstandleer75"/>
      </w:pPr>
      <w:r>
        <w:rPr>
          <w:noProof/>
        </w:rPr>
        <w:drawing>
          <wp:anchor distT="0" distB="36195" distL="0" distR="0" simplePos="0" relativeHeight="251658240" behindDoc="1" locked="0" layoutInCell="0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103245" cy="4391660"/>
            <wp:effectExtent l="19050" t="19050" r="1905" b="8890"/>
            <wp:wrapSquare wrapText="largest"/>
            <wp:docPr id="2" name="Bild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3365" r="4762"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4391660"/>
                    </a:xfrm>
                    <a:prstGeom prst="rect">
                      <a:avLst/>
                    </a:prstGeom>
                    <a:noFill/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908" w:rsidRDefault="0025190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Arial"/>
        </w:rPr>
      </w:pPr>
      <w:r>
        <w:rPr>
          <w:rFonts w:cs="Arial"/>
        </w:rPr>
        <w:t xml:space="preserve">Anlage A 2.3 </w:t>
      </w:r>
      <w:r>
        <w:rPr>
          <w:rStyle w:val="mager"/>
          <w:rFonts w:cs="Calibri"/>
          <w:b w:val="0"/>
        </w:rPr>
        <w:t>- Seite 2 -</w:t>
      </w:r>
    </w:p>
    <w:p w:rsidR="00251908" w:rsidRDefault="00251908">
      <w:pPr>
        <w:pStyle w:val="RVAnlagenabstandleer75"/>
        <w:suppressAutoHyphens w:val="0"/>
        <w:spacing w:before="30" w:after="10" w:line="120" w:lineRule="exact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02610" cy="4390390"/>
            <wp:effectExtent l="19050" t="19050" r="2540" b="0"/>
            <wp:wrapSquare wrapText="largest"/>
            <wp:docPr id="3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" t="-128" r="-182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439039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908" w:rsidRDefault="00251908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Arial"/>
        </w:rPr>
      </w:pPr>
      <w:r>
        <w:rPr>
          <w:rFonts w:cs="Arial"/>
        </w:rPr>
        <w:t xml:space="preserve">Anlage A 2.3 </w:t>
      </w:r>
      <w:r>
        <w:rPr>
          <w:rStyle w:val="mager"/>
          <w:rFonts w:cs="Calibri"/>
          <w:b w:val="0"/>
        </w:rPr>
        <w:t>- Seite 3 -</w:t>
      </w:r>
    </w:p>
    <w:p w:rsidR="00251908" w:rsidRDefault="00251908">
      <w:pPr>
        <w:pStyle w:val="RVtabelle75fr"/>
        <w:widowControl/>
        <w:tabs>
          <w:tab w:val="clear" w:pos="720"/>
        </w:tabs>
        <w:spacing w:before="10" w:after="10" w:line="10" w:lineRule="atLeast"/>
        <w:rPr>
          <w:rFonts w:cs="Arial"/>
        </w:rPr>
      </w:pPr>
      <w:r>
        <w:rPr>
          <w:b w:val="0"/>
          <w:noProof/>
        </w:rPr>
        <w:drawing>
          <wp:inline distT="0" distB="0" distL="0" distR="0">
            <wp:extent cx="3067050" cy="4343400"/>
            <wp:effectExtent l="0" t="0" r="0" b="0"/>
            <wp:docPr id="1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27" r="-180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08" w:rsidRDefault="00251908">
      <w:pPr>
        <w:widowControl/>
        <w:rPr>
          <w:rFonts w:cs="Calibri"/>
        </w:rPr>
        <w:sectPr w:rsidR="00000000">
          <w:footerReference w:type="even" r:id="rId11"/>
          <w:footerReference w:type="default" r:id="rId12"/>
          <w:footerReference w:type="first" r:id="rId13"/>
          <w:pgSz w:w="11906" w:h="16838"/>
          <w:pgMar w:top="1118" w:right="1124" w:bottom="706" w:left="784" w:header="0" w:footer="720" w:gutter="0"/>
          <w:pgNumType w:chapSep="period"/>
          <w:cols w:num="2" w:space="226"/>
        </w:sectPr>
      </w:pPr>
    </w:p>
    <w:p w:rsidR="00251908" w:rsidRDefault="00251908">
      <w:pPr>
        <w:pStyle w:val="RVfliesstext175fl"/>
      </w:pPr>
      <w:r>
        <w:rPr>
          <w:rFonts w:cs="Arial"/>
        </w:rPr>
        <w:lastRenderedPageBreak/>
        <w:t>ABl. NRW. 04/2017 S. 43</w:t>
      </w:r>
    </w:p>
    <w:sectPr w:rsidR="00000000">
      <w:footerReference w:type="even" r:id="rId14"/>
      <w:footerReference w:type="default" r:id="rId15"/>
      <w:footerReference w:type="first" r:id="rId16"/>
      <w:pgSz w:w="11906" w:h="16838"/>
      <w:pgMar w:top="1118" w:right="2446" w:bottom="706" w:left="6090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1908" w:rsidRDefault="00251908">
      <w:r>
        <w:separator/>
      </w:r>
    </w:p>
  </w:endnote>
  <w:endnote w:type="continuationSeparator" w:id="0">
    <w:p w:rsidR="00251908" w:rsidRDefault="0025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  <w:rPr>
        <w:rFonts w:cs="Calibri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1908" w:rsidRDefault="00251908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1908" w:rsidRDefault="00251908">
      <w:r>
        <w:separator/>
      </w:r>
    </w:p>
  </w:footnote>
  <w:footnote w:type="continuationSeparator" w:id="0">
    <w:p w:rsidR="00251908" w:rsidRDefault="0025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2B23"/>
    <w:rsid w:val="00251908"/>
    <w:rsid w:val="006C2B2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