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2FE5D" w14:textId="77777777" w:rsidR="009F7596" w:rsidRDefault="009F7596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06D61673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1CA52701" w14:textId="77777777" w:rsidR="009F7596" w:rsidRDefault="009F7596">
            <w:pPr>
              <w:pStyle w:val="RVfliesstext175fl"/>
            </w:pPr>
            <w:r>
              <w:rPr>
                <w:rFonts w:cs="Arial"/>
              </w:rPr>
              <w:t>Laienreanimation als Projekt an Schulen</w:t>
            </w:r>
          </w:p>
        </w:tc>
      </w:tr>
    </w:tbl>
    <w:p w14:paraId="5E27FF62" w14:textId="77777777" w:rsidR="009F7596" w:rsidRDefault="009F7596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18-24</w:t>
      </w:r>
    </w:p>
    <w:p w14:paraId="3F7D48FD" w14:textId="77777777" w:rsidR="009F7596" w:rsidRDefault="009F7596">
      <w:pPr>
        <w:pStyle w:val="RVueberschrift1100fz"/>
        <w:keepNext/>
        <w:keepLines/>
      </w:pPr>
      <w:r>
        <w:rPr>
          <w:rFonts w:cs="Calibri"/>
        </w:rPr>
        <w:t xml:space="preserve">Laienreanimation </w:t>
      </w:r>
      <w:r>
        <w:rPr>
          <w:rFonts w:cs="Calibri"/>
        </w:rPr>
        <w:br/>
        <w:t>an Schulen in Nordrhein-Westfalen</w:t>
      </w:r>
    </w:p>
    <w:p w14:paraId="4465EB73" w14:textId="77777777" w:rsidR="009F7596" w:rsidRDefault="009F7596">
      <w:pPr>
        <w:pStyle w:val="RVueberschrift285nz"/>
        <w:keepNext/>
        <w:keepLines/>
        <w:rPr>
          <w:rFonts w:cs="Arial"/>
        </w:rPr>
      </w:pPr>
      <w:r>
        <w:t>RdErl. d. Ministerium f</w:t>
      </w:r>
      <w:r>
        <w:t>ü</w:t>
      </w:r>
      <w:r>
        <w:t xml:space="preserve">r Schule und Weiterbildung </w:t>
      </w:r>
      <w:r>
        <w:br/>
      </w:r>
      <w:r>
        <w:t>v. 20.03.2017 - 323-6.08.03.03-102723</w:t>
      </w:r>
    </w:p>
    <w:p w14:paraId="150676F1" w14:textId="77777777" w:rsidR="009F7596" w:rsidRDefault="009F7596">
      <w:pPr>
        <w:pStyle w:val="RVfliesstext175nb"/>
        <w:rPr>
          <w:rFonts w:cs="Arial"/>
        </w:rPr>
      </w:pPr>
      <w:r>
        <w:t>Bei einem pl</w:t>
      </w:r>
      <w:r>
        <w:t>ö</w:t>
      </w:r>
      <w:r>
        <w:t>tzlichen Kreislaufstillstand au</w:t>
      </w:r>
      <w:r>
        <w:t>ß</w:t>
      </w:r>
      <w:r>
        <w:t>erhalb eines Krankenhauses (sog. pl</w:t>
      </w:r>
      <w:r>
        <w:t>ö</w:t>
      </w:r>
      <w:r>
        <w:t xml:space="preserve">tzlicher Herztod) sind die </w:t>
      </w:r>
      <w:r>
        <w:t>Ü</w:t>
      </w:r>
      <w:r>
        <w:t>berlebenschancen gering. Da Hirnzellen nur drei bis f</w:t>
      </w:r>
      <w:r>
        <w:t>ü</w:t>
      </w:r>
      <w:r>
        <w:t>nf Minuten einen Sauerstoffmangel ohne Sch</w:t>
      </w:r>
      <w:r>
        <w:t>ä</w:t>
      </w:r>
      <w:r>
        <w:t xml:space="preserve">digung </w:t>
      </w:r>
      <w:r>
        <w:t>ü</w:t>
      </w:r>
      <w:r>
        <w:t>berstehen, kommt meist der Rettungsdienst zu sp</w:t>
      </w:r>
      <w:r>
        <w:t>ä</w:t>
      </w:r>
      <w:r>
        <w:t xml:space="preserve">t. Eine erhebliche Verbesserung der </w:t>
      </w:r>
      <w:r>
        <w:t>Ü</w:t>
      </w:r>
      <w:r>
        <w:t>berlebensquote ist daher eine ersthelfende Person. Um dieses Ziel zu erreichen, sollen auch die am Schulleben Beteiligten - insbesondere Lehr- und Fachkr</w:t>
      </w:r>
      <w:r>
        <w:t>ä</w:t>
      </w:r>
      <w:r>
        <w:t>fte, Sch</w:t>
      </w:r>
      <w:r>
        <w:t>ü</w:t>
      </w:r>
      <w:r>
        <w:t>lerinnen und Sch</w:t>
      </w:r>
      <w:r>
        <w:t>ü</w:t>
      </w:r>
      <w:r>
        <w:t>ler sowie nach M</w:t>
      </w:r>
      <w:r>
        <w:t>ö</w:t>
      </w:r>
      <w:r>
        <w:t>glichkeit auch Eltern - eine Wiederbelebungskompetenz erwerben k</w:t>
      </w:r>
      <w:r>
        <w:t>ö</w:t>
      </w:r>
      <w:r>
        <w:t xml:space="preserve">nnen. Hierzu dient das Projekt </w:t>
      </w:r>
      <w:r>
        <w:t>„</w:t>
      </w:r>
      <w:r>
        <w:t>Laienreanimation an Schulen in Nordrhein-Westfalen</w:t>
      </w:r>
      <w:r>
        <w:t>“</w:t>
      </w:r>
      <w:r>
        <w:t>.</w:t>
      </w:r>
    </w:p>
    <w:p w14:paraId="340DBF10" w14:textId="77777777" w:rsidR="009F7596" w:rsidRDefault="009F7596">
      <w:pPr>
        <w:pStyle w:val="RVueberschrift285fz"/>
        <w:keepNext/>
        <w:keepLines/>
      </w:pPr>
      <w:r>
        <w:rPr>
          <w:rFonts w:cs="Calibri"/>
        </w:rPr>
        <w:t>1 Gegenstand des Projekts</w:t>
      </w:r>
    </w:p>
    <w:p w14:paraId="0E67958B" w14:textId="77777777" w:rsidR="009F7596" w:rsidRDefault="009F7596">
      <w:pPr>
        <w:pStyle w:val="RVfliesstext175nb"/>
        <w:rPr>
          <w:rFonts w:cs="Arial"/>
        </w:rPr>
      </w:pPr>
      <w:r>
        <w:t>Gegenstand des Projekts ist die Erh</w:t>
      </w:r>
      <w:r>
        <w:t>ö</w:t>
      </w:r>
      <w:r>
        <w:t>hung der Wiederbelebungskompetenz von am Schulleben beteiligten Personen. Zu dieser Kompetenz z</w:t>
      </w:r>
      <w:r>
        <w:t>ä</w:t>
      </w:r>
      <w:r>
        <w:t>hlen insbesondere</w:t>
      </w:r>
    </w:p>
    <w:p w14:paraId="36E0A8F9" w14:textId="77777777" w:rsidR="009F7596" w:rsidRDefault="009F7596">
      <w:pPr>
        <w:pStyle w:val="RVliste3u75nb"/>
      </w:pPr>
      <w:r>
        <w:t>-</w:t>
      </w:r>
      <w:r>
        <w:tab/>
      </w:r>
      <w:r>
        <w:rPr>
          <w:rFonts w:cs="Arial"/>
        </w:rPr>
        <w:t>das Erkennen eines potentiellen Kreislaufstillstandes,</w:t>
      </w:r>
    </w:p>
    <w:p w14:paraId="63BF2A21" w14:textId="77777777" w:rsidR="009F7596" w:rsidRDefault="009F7596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die Aktivierung von professioneller Hilfe,</w:t>
      </w:r>
    </w:p>
    <w:p w14:paraId="37C00D61" w14:textId="77777777" w:rsidR="009F7596" w:rsidRDefault="009F7596">
      <w:pPr>
        <w:pStyle w:val="RVliste3u75nb"/>
      </w:pPr>
      <w:r>
        <w:t>-</w:t>
      </w:r>
      <w:r>
        <w:tab/>
      </w:r>
      <w:r>
        <w:rPr>
          <w:rFonts w:cs="Arial"/>
        </w:rPr>
        <w:t>die Veranlassung von qualitativ hochwertigen Herzdruckmassagen,</w:t>
      </w:r>
    </w:p>
    <w:p w14:paraId="5DCE1076" w14:textId="77777777" w:rsidR="009F7596" w:rsidRDefault="009F7596">
      <w:pPr>
        <w:pStyle w:val="RVliste3u75nb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die Umsetzung von Anleitungen durch die Rettungsleitstelle.</w:t>
      </w:r>
    </w:p>
    <w:p w14:paraId="455A70FC" w14:textId="77777777" w:rsidR="009F7596" w:rsidRDefault="009F7596">
      <w:pPr>
        <w:pStyle w:val="RVfliesstext175nb"/>
        <w:rPr>
          <w:rFonts w:cs="Arial"/>
        </w:rPr>
      </w:pPr>
      <w:r>
        <w:t>Diese Kompetenz soll durch die Deutsche Gesellschaft f</w:t>
      </w:r>
      <w:r>
        <w:t>ü</w:t>
      </w:r>
      <w:r>
        <w:t>r An</w:t>
      </w:r>
      <w:r>
        <w:t>ä</w:t>
      </w:r>
      <w:r>
        <w:t>sthesiologie und Intensivmedizin (DGAI), den Berufsverband Deutscher An</w:t>
      </w:r>
      <w:r>
        <w:t>ä</w:t>
      </w:r>
      <w:r>
        <w:t>sthesisten (BDA) sowie den Deutschen Rat f</w:t>
      </w:r>
      <w:r>
        <w:t>ü</w:t>
      </w:r>
      <w:r>
        <w:t>r Wiederbelebung - German Resuscitation Council (GRC) vermittelt werden.</w:t>
      </w:r>
    </w:p>
    <w:p w14:paraId="39AD3F86" w14:textId="77777777" w:rsidR="009F7596" w:rsidRDefault="009F7596">
      <w:pPr>
        <w:pStyle w:val="RVueberschrift285fz"/>
        <w:keepNext/>
        <w:keepLines/>
      </w:pPr>
      <w:r>
        <w:rPr>
          <w:rFonts w:cs="Calibri"/>
        </w:rPr>
        <w:t>2 Teilnahme an dem Projekt</w:t>
      </w:r>
    </w:p>
    <w:p w14:paraId="466AD890" w14:textId="77777777" w:rsidR="009F7596" w:rsidRDefault="009F7596">
      <w:pPr>
        <w:pStyle w:val="RVfliesstext175nb"/>
        <w:rPr>
          <w:rFonts w:cs="Arial"/>
        </w:rPr>
      </w:pPr>
      <w:r>
        <w:t>An dem Projekt k</w:t>
      </w:r>
      <w:r>
        <w:t>ö</w:t>
      </w:r>
      <w:r>
        <w:t xml:space="preserve">nnen bis zu 100 </w:t>
      </w:r>
      <w:r>
        <w:t>ö</w:t>
      </w:r>
      <w:r>
        <w:t>ffentliche Schulen und private Ersatzschulen in Nordrhein-Westfalen teilnehmen, die sich nach M</w:t>
      </w:r>
      <w:r>
        <w:t>ö</w:t>
      </w:r>
      <w:r>
        <w:t>glichkeit gleichm</w:t>
      </w:r>
      <w:r>
        <w:t>äß</w:t>
      </w:r>
      <w:r>
        <w:t xml:space="preserve">ig auf alle Regierungsbezirke verteilen. Die Beteiligung der Schulen an dem Projektversuch ist freiwillig. </w:t>
      </w:r>
    </w:p>
    <w:p w14:paraId="0C02E0D6" w14:textId="77777777" w:rsidR="009F7596" w:rsidRDefault="009F7596">
      <w:pPr>
        <w:pStyle w:val="RVueberschrift285fz"/>
        <w:keepNext/>
        <w:keepLines/>
      </w:pPr>
      <w:r>
        <w:rPr>
          <w:rFonts w:cs="Calibri"/>
        </w:rPr>
        <w:t>3 Inhalt des Projekts</w:t>
      </w:r>
    </w:p>
    <w:p w14:paraId="65782105" w14:textId="77777777" w:rsidR="009F7596" w:rsidRDefault="009F7596">
      <w:pPr>
        <w:pStyle w:val="RVfliesstext175nb"/>
        <w:rPr>
          <w:rFonts w:cs="Arial"/>
        </w:rPr>
      </w:pPr>
      <w:r>
        <w:t>Den teilnehmenden Schulen bleibt im Rahmen des Projekts freigestellt, wie sie mit Unterst</w:t>
      </w:r>
      <w:r>
        <w:t>ü</w:t>
      </w:r>
      <w:r>
        <w:t>tzung der unter Nummer 1 genannten Organisationen das Thema Wiederbelebungskompetenz unterrichtlich oder au</w:t>
      </w:r>
      <w:r>
        <w:t>ß</w:t>
      </w:r>
      <w:r>
        <w:t>erunterrichtlich aufgreifen (zum Beispiel durch Informationsveranstaltungen).</w:t>
      </w:r>
    </w:p>
    <w:p w14:paraId="4C97AE42" w14:textId="77777777" w:rsidR="009F7596" w:rsidRDefault="009F7596">
      <w:pPr>
        <w:pStyle w:val="RVueberschrift285fz"/>
        <w:keepNext/>
        <w:keepLines/>
      </w:pPr>
      <w:r>
        <w:rPr>
          <w:rFonts w:cs="Calibri"/>
        </w:rPr>
        <w:t>4 Verfahren</w:t>
      </w:r>
    </w:p>
    <w:p w14:paraId="7204F3F6" w14:textId="77777777" w:rsidR="009F7596" w:rsidRDefault="009F7596">
      <w:pPr>
        <w:pStyle w:val="RVfliesstext175nb"/>
        <w:rPr>
          <w:rFonts w:cs="Arial"/>
        </w:rPr>
      </w:pPr>
      <w:r>
        <w:t>Vor Begi</w:t>
      </w:r>
      <w:r>
        <w:t>nn des Projekts wird eine Veranstaltung unter der Federf</w:t>
      </w:r>
      <w:r>
        <w:t>ü</w:t>
      </w:r>
      <w:r>
        <w:t>hrung des Ministeriums f</w:t>
      </w:r>
      <w:r>
        <w:t>ü</w:t>
      </w:r>
      <w:r>
        <w:t>r Schule und Weiterbildung in der ersten H</w:t>
      </w:r>
      <w:r>
        <w:t>ä</w:t>
      </w:r>
      <w:r>
        <w:t>lfte des Jahres 2017 durchgef</w:t>
      </w:r>
      <w:r>
        <w:t>ü</w:t>
      </w:r>
      <w:r>
        <w:t>hrt. Danach k</w:t>
      </w:r>
      <w:r>
        <w:t>ö</w:t>
      </w:r>
      <w:r>
        <w:t>nnen sich interessierte Schulen bei der f</w:t>
      </w:r>
      <w:r>
        <w:t>ü</w:t>
      </w:r>
      <w:r>
        <w:t>r sie jeweils zust</w:t>
      </w:r>
      <w:r>
        <w:t>ä</w:t>
      </w:r>
      <w:r>
        <w:t xml:space="preserve">ndigen Bezirksregierung zur Teilnahme an dem Projekt anmelden. Das Ministerium entscheidet unter Beteiligung der Bezirksregierungen sowie der unter Nummer 1 genannten Organisationen </w:t>
      </w:r>
      <w:r>
        <w:t>ü</w:t>
      </w:r>
      <w:r>
        <w:t>ber die Auswahl der Schulen. Die teilnehmenden Schulen werden hinsichtlich der Umsetzung des Projekts von der f</w:t>
      </w:r>
      <w:r>
        <w:t>ü</w:t>
      </w:r>
      <w:r>
        <w:t>r sie jeweils zust</w:t>
      </w:r>
      <w:r>
        <w:t>ä</w:t>
      </w:r>
      <w:r>
        <w:t>ndigen Bezirksregierung beraten.</w:t>
      </w:r>
    </w:p>
    <w:p w14:paraId="43102A57" w14:textId="77777777" w:rsidR="009F7596" w:rsidRDefault="009F7596">
      <w:pPr>
        <w:pStyle w:val="RVueberschrift285fz"/>
        <w:keepNext/>
        <w:keepLines/>
      </w:pPr>
      <w:r>
        <w:rPr>
          <w:rFonts w:cs="Calibri"/>
        </w:rPr>
        <w:t>5 Evaluation des Projekts</w:t>
      </w:r>
    </w:p>
    <w:p w14:paraId="5E351CC0" w14:textId="77777777" w:rsidR="009F7596" w:rsidRDefault="009F7596">
      <w:pPr>
        <w:pStyle w:val="RVfliesstext175nb"/>
        <w:rPr>
          <w:rFonts w:cs="Arial"/>
        </w:rPr>
      </w:pPr>
      <w:r>
        <w:t>Das Projekt wird durch die unter Nummer 1 genannten Organisationen wissenschaftlich begleitet und evaluiert. In die Evaluation werden die Bezirksregierungen eingebunden.</w:t>
      </w:r>
    </w:p>
    <w:p w14:paraId="369CE717" w14:textId="77777777" w:rsidR="009F7596" w:rsidRDefault="009F7596">
      <w:pPr>
        <w:pStyle w:val="RVueberschrift285fz"/>
        <w:keepNext/>
        <w:keepLines/>
      </w:pPr>
      <w:r>
        <w:rPr>
          <w:rFonts w:cs="Calibri"/>
        </w:rPr>
        <w:t>6 Dauer des Projekts</w:t>
      </w:r>
    </w:p>
    <w:p w14:paraId="3C5A2211" w14:textId="77777777" w:rsidR="009F7596" w:rsidRDefault="009F7596">
      <w:pPr>
        <w:pStyle w:val="RVfliesstext175nb"/>
        <w:rPr>
          <w:rFonts w:cs="Arial"/>
        </w:rPr>
      </w:pPr>
      <w:r>
        <w:t xml:space="preserve">Das Projekt beginnt am 01.07.2017 und endet am 30.06.2020. </w:t>
      </w:r>
      <w:r>
        <w:t>Ü</w:t>
      </w:r>
      <w:r>
        <w:t>ber eine Fortsetzung des Projekts wird unter Ber</w:t>
      </w:r>
      <w:r>
        <w:t>ü</w:t>
      </w:r>
      <w:r>
        <w:t>cksichtigung der unter Nummer 5 genannten Evaluation im ersten Quartal des Jahres 2020 entschieden.</w:t>
      </w:r>
    </w:p>
    <w:p w14:paraId="68D9AF4E" w14:textId="77777777" w:rsidR="009F7596" w:rsidRDefault="009F7596">
      <w:pPr>
        <w:pStyle w:val="RVueberschrift285fz"/>
        <w:keepNext/>
        <w:keepLines/>
      </w:pPr>
      <w:r>
        <w:rPr>
          <w:rFonts w:cs="Calibri"/>
        </w:rPr>
        <w:t>7 Inkrafttreten</w:t>
      </w:r>
    </w:p>
    <w:p w14:paraId="022727F8" w14:textId="77777777" w:rsidR="009F7596" w:rsidRDefault="009F7596">
      <w:pPr>
        <w:pStyle w:val="RVfliesstext175nb"/>
        <w:rPr>
          <w:rFonts w:cs="Arial"/>
        </w:rPr>
      </w:pPr>
      <w:r>
        <w:t xml:space="preserve">Der Runderlass tritt mit sofortiger Wirkung in Kraft. </w:t>
      </w:r>
    </w:p>
    <w:p w14:paraId="33350666" w14:textId="77777777" w:rsidR="009F7596" w:rsidRDefault="009F7596">
      <w:pPr>
        <w:pStyle w:val="RVfliesstext175nb"/>
      </w:pPr>
    </w:p>
    <w:p w14:paraId="14433E77" w14:textId="77777777" w:rsidR="009F7596" w:rsidRDefault="009F7596">
      <w:pPr>
        <w:pStyle w:val="RVfliesstext175nb"/>
        <w:jc w:val="right"/>
      </w:pPr>
      <w:r>
        <w:rPr>
          <w:rFonts w:cs="Arial"/>
        </w:rPr>
        <w:t>ABl. NRW. 05/2017 S. 42</w:t>
      </w:r>
    </w:p>
    <w:p w14:paraId="72C029AD" w14:textId="77777777" w:rsidR="009F7596" w:rsidRDefault="009F7596">
      <w:pPr>
        <w:pStyle w:val="RVfliesstext175nb"/>
        <w:jc w:val="left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06E43" w14:textId="77777777" w:rsidR="009F7596" w:rsidRDefault="009F7596">
      <w:r>
        <w:separator/>
      </w:r>
    </w:p>
  </w:endnote>
  <w:endnote w:type="continuationSeparator" w:id="0">
    <w:p w14:paraId="65F943BA" w14:textId="77777777" w:rsidR="009F7596" w:rsidRDefault="009F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BB1D9" w14:textId="77777777" w:rsidR="009F7596" w:rsidRDefault="009F7596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BA2C6" w14:textId="77777777" w:rsidR="009F7596" w:rsidRDefault="009F7596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CE6D416" w14:textId="77777777" w:rsidR="009F7596" w:rsidRDefault="009F7596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17914"/>
    <w:rsid w:val="00917914"/>
    <w:rsid w:val="009F7596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F1E68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2024-09-10T02:44:00Z</dcterms:created>
  <dcterms:modified xsi:type="dcterms:W3CDTF">2024-09-10T02:44:00Z</dcterms:modified>
</cp:coreProperties>
</file>