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11CD1587" w14:textId="77777777">
        <w:trPr>
          <w:trHeight w:val="211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0B86EF2" w14:textId="77777777" w:rsidR="008E0D8D" w:rsidRDefault="008E0D8D">
            <w:pPr>
              <w:pStyle w:val="RVtabellenanker"/>
              <w:framePr w:w="23" w:h="23" w:hRule="exact" w:wrap="notBeside" w:vAnchor="text" w:hAnchor="text"/>
              <w:widowControl/>
            </w:pPr>
          </w:p>
          <w:p w14:paraId="0E850598" w14:textId="77777777" w:rsidR="008E0D8D" w:rsidRDefault="008E0D8D">
            <w:pPr>
              <w:pStyle w:val="RVfliesstext175fl"/>
              <w:rPr>
                <w:rFonts w:cs="Arial"/>
              </w:rPr>
            </w:pPr>
            <w:r>
              <w:t>Ä</w:t>
            </w:r>
            <w:r>
              <w:t>nderung der Praxiselemente in der Lehrerausbildung</w:t>
            </w:r>
          </w:p>
          <w:p w14:paraId="20345D3B" w14:textId="77777777" w:rsidR="008E0D8D" w:rsidRDefault="008E0D8D">
            <w:pPr>
              <w:pStyle w:val="RVfliesstext175nb"/>
              <w:rPr>
                <w:rFonts w:cs="Arial"/>
              </w:rPr>
            </w:pPr>
            <w:r>
              <w:t xml:space="preserve">Die </w:t>
            </w:r>
            <w:r>
              <w:t>Ä</w:t>
            </w:r>
            <w:r>
              <w:t>nderungen des Praxiselementeerlasses beziehen sich zun</w:t>
            </w:r>
            <w:r>
              <w:t>ä</w:t>
            </w:r>
            <w:r>
              <w:t xml:space="preserve">chst auf das Praxissemester. Diese </w:t>
            </w:r>
            <w:r>
              <w:t>Ä</w:t>
            </w:r>
            <w:r>
              <w:t>nderungen basieren auf den Ergebnissen einer Evaluation der bisherigen Ausgestaltung des Praxissemesters durch Schul- und Hochschulseite.</w:t>
            </w:r>
          </w:p>
          <w:p w14:paraId="13E95F14" w14:textId="77777777" w:rsidR="008E0D8D" w:rsidRDefault="008E0D8D">
            <w:pPr>
              <w:pStyle w:val="RVfliesstext175nb"/>
              <w:rPr>
                <w:rFonts w:cs="Arial"/>
              </w:rPr>
            </w:pPr>
            <w:r>
              <w:t>Dar</w:t>
            </w:r>
            <w:r>
              <w:t>ü</w:t>
            </w:r>
            <w:r>
              <w:t xml:space="preserve">ber hinaus tragen die </w:t>
            </w:r>
            <w:r>
              <w:t>Ä</w:t>
            </w:r>
            <w:r>
              <w:t>nderungen der Neuordnung der Praxiselemente durch das ge</w:t>
            </w:r>
            <w:r>
              <w:t>ä</w:t>
            </w:r>
            <w:r>
              <w:t>nderte Lehrerausbildung</w:t>
            </w:r>
            <w:r>
              <w:lastRenderedPageBreak/>
              <w:t>sgesetz, welches am 7. Mai 2016 in Kraft getreten ist, Rechnung.</w:t>
            </w:r>
          </w:p>
          <w:p w14:paraId="7AF1300B" w14:textId="77777777" w:rsidR="008E0D8D" w:rsidRDefault="008E0D8D">
            <w:pPr>
              <w:pStyle w:val="RVfliesstext175nb"/>
              <w:rPr>
                <w:rFonts w:cs="Arial"/>
              </w:rPr>
            </w:pPr>
            <w:r>
              <w:t>Umgesetzt werden insbesondere der Wegfall des voruniversit</w:t>
            </w:r>
            <w:r>
              <w:t>ä</w:t>
            </w:r>
            <w:r>
              <w:t>ren Eignungspraktikums sowie die Erweiterung des bisherigen Orientierungspraktikums zum Eignungs- und Orientierungspraktikum.</w:t>
            </w:r>
          </w:p>
        </w:tc>
      </w:tr>
    </w:tbl>
    <w:p w14:paraId="03BF9584" w14:textId="77777777" w:rsidR="008E0D8D" w:rsidRDefault="008E0D8D">
      <w:pPr>
        <w:pStyle w:val="BASS-Nr-ABl"/>
        <w:widowControl/>
        <w:tabs>
          <w:tab w:val="clear" w:pos="720"/>
        </w:tabs>
      </w:pPr>
      <w:r>
        <w:lastRenderedPageBreak/>
        <w:t xml:space="preserve">Zu BASS </w:t>
      </w:r>
      <w:r>
        <w:rPr>
          <w:rFonts w:cs="Arial"/>
        </w:rPr>
        <w:t>20-02 Nr. 20</w:t>
      </w:r>
    </w:p>
    <w:p w14:paraId="67D7A8A4" w14:textId="77777777" w:rsidR="008E0D8D" w:rsidRDefault="008E0D8D">
      <w:pPr>
        <w:pStyle w:val="RVueberschrift1100fz"/>
        <w:keepNext/>
        <w:keepLines/>
        <w:rPr>
          <w:rFonts w:cs="Calibri"/>
        </w:rPr>
      </w:pPr>
      <w:r>
        <w:t xml:space="preserve">Praxiselemente </w:t>
      </w:r>
      <w:r>
        <w:br/>
        <w:t>in den lehramtsbezogenen Studieng</w:t>
      </w:r>
      <w:r>
        <w:t>ä</w:t>
      </w:r>
      <w:r>
        <w:t xml:space="preserve">ngen; </w:t>
      </w:r>
      <w:r>
        <w:br/>
      </w:r>
      <w:r>
        <w:t>Ä</w:t>
      </w:r>
      <w:r>
        <w:t>nderung</w:t>
      </w:r>
    </w:p>
    <w:p w14:paraId="576D848D" w14:textId="77777777" w:rsidR="008E0D8D" w:rsidRDefault="008E0D8D">
      <w:pPr>
        <w:pStyle w:val="RVueberschrift285nz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15.12.2016 - 421/422</w:t>
      </w:r>
    </w:p>
    <w:p w14:paraId="1F83016C" w14:textId="77777777" w:rsidR="008E0D8D" w:rsidRDefault="008E0D8D">
      <w:pPr>
        <w:pStyle w:val="RVfliesstext175fl"/>
      </w:pPr>
      <w:r>
        <w:rPr>
          <w:rFonts w:cs="Arial"/>
        </w:rPr>
        <w:t>Bezug:</w:t>
      </w:r>
    </w:p>
    <w:p w14:paraId="7FDA4ACC" w14:textId="77777777" w:rsidR="008E0D8D" w:rsidRDefault="008E0D8D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28.06.2012 (BASS 20-02 Nr. 20)</w:t>
      </w:r>
    </w:p>
    <w:p w14:paraId="747467A5" w14:textId="77777777" w:rsidR="008E0D8D" w:rsidRDefault="008E0D8D">
      <w:pPr>
        <w:pStyle w:val="RVfliesstext175nb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0B928BE" w14:textId="77777777" w:rsidR="008E0D8D" w:rsidRDefault="008E0D8D">
      <w:pPr>
        <w:pStyle w:val="RVliste3n75nbanfang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 xml:space="preserve">Nummer 1 Absatz 1 wird wie folgt gefasst: </w:t>
      </w:r>
      <w:r>
        <w:br/>
      </w:r>
      <w:r>
        <w:t>„</w:t>
      </w:r>
      <w:r>
        <w:t>Die Praxiselemente sind obligatorischer Bestandteil der Lehrerausbildung. Sie umfassen ein Eignungs- und Orientierungspraktikum von mindestens 25 Praktikumstagen Dauer, ein mindestens vierw</w:t>
      </w:r>
      <w:r>
        <w:t>ö</w:t>
      </w:r>
      <w:r>
        <w:t>chiges, in der Regel au</w:t>
      </w:r>
      <w:r>
        <w:t>ß</w:t>
      </w:r>
      <w:r>
        <w:t>erschulisches Berufsfeldpraktikum und ein Praxissemester von mindestens f</w:t>
      </w:r>
      <w:r>
        <w:t>ü</w:t>
      </w:r>
      <w:r>
        <w:t>nf Monaten Dauer (</w:t>
      </w:r>
      <w:r>
        <w:t>§</w:t>
      </w:r>
      <w:r>
        <w:t xml:space="preserve"> 12 Lehrerausbildungsgesetz vom 12. Mai 2009 - LABG - BASS 1-8; </w:t>
      </w:r>
      <w:r>
        <w:t>§§</w:t>
      </w:r>
      <w:r>
        <w:t xml:space="preserve"> 7 bis 9 Lehramtszugangsverordnung vom 25. April 2016 - LZV - BASS 20-02 Nr. 30). Die Praxiselemente erm</w:t>
      </w:r>
      <w:r>
        <w:t>ö</w:t>
      </w:r>
      <w:r>
        <w:t>glichen insbesondere theoriegeleitete Erfahrungen im Handlungsfeld Schule. Dadurch werden die grundlegenden Aufgaben des Lehrerberufs zu einer zentralen Leitlinie der Ausbildung.</w:t>
      </w:r>
      <w:r>
        <w:t>“</w:t>
      </w:r>
    </w:p>
    <w:p w14:paraId="4A5CC7FB" w14:textId="77777777" w:rsidR="008E0D8D" w:rsidRDefault="008E0D8D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In Nummer 1 Absatz 2 wird nach Satz 3 folgender Satz 4 angef</w:t>
      </w:r>
      <w:r>
        <w:t>ü</w:t>
      </w:r>
      <w:r>
        <w:t xml:space="preserve">gt: </w:t>
      </w:r>
      <w:r>
        <w:br/>
      </w:r>
      <w:r>
        <w:t>„</w:t>
      </w:r>
      <w:r>
        <w:t>Alle Praxiselemente tragen auch zu einer kontinuierlichen Eignungsreflexion bei.</w:t>
      </w:r>
      <w:r>
        <w:t>“</w:t>
      </w:r>
    </w:p>
    <w:p w14:paraId="6470C28C" w14:textId="77777777" w:rsidR="008E0D8D" w:rsidRDefault="008E0D8D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>Nummer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4E450F2" w14:textId="77777777" w:rsidR="008E0D8D" w:rsidRDefault="008E0D8D">
      <w:pPr>
        <w:pStyle w:val="RVliste2a75nb"/>
        <w:tabs>
          <w:tab w:val="clear" w:pos="720"/>
        </w:tabs>
      </w:pPr>
      <w:r>
        <w:t>a)</w:t>
      </w:r>
      <w:r>
        <w:rPr>
          <w:rFonts w:cs="Arial"/>
        </w:rPr>
        <w:tab/>
        <w:t>Nach Absatz 1 wird folgender Absatz 2 eingef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(2) Das Eignungs- und Orientierungspraktikum, das im Rahmen eines lehramtsbezogenen Bachelorstudiums zu absolvieren ist, f</w:t>
      </w:r>
      <w:r>
        <w:rPr>
          <w:rFonts w:cs="Arial"/>
        </w:rPr>
        <w:t>ü</w:t>
      </w:r>
      <w:r>
        <w:rPr>
          <w:rFonts w:cs="Arial"/>
        </w:rPr>
        <w:t>hren die Hochschulen in Bezug auf Fragen der Eignungsreflexion in Kooperation mit den Schulen durch, die dabei von den Zentren f</w:t>
      </w:r>
      <w:r>
        <w:rPr>
          <w:rFonts w:cs="Arial"/>
        </w:rPr>
        <w:t>ü</w:t>
      </w:r>
      <w:r>
        <w:rPr>
          <w:rFonts w:cs="Arial"/>
        </w:rPr>
        <w:t>r schulpraktische Lehrerausbildung unterst</w:t>
      </w:r>
      <w:r>
        <w:rPr>
          <w:rFonts w:cs="Arial"/>
        </w:rPr>
        <w:t>ü</w:t>
      </w:r>
      <w:r>
        <w:rPr>
          <w:rFonts w:cs="Arial"/>
        </w:rPr>
        <w:t>tzt werden. N</w:t>
      </w:r>
      <w:r>
        <w:rPr>
          <w:rFonts w:cs="Arial"/>
        </w:rPr>
        <w:t>ä</w:t>
      </w:r>
      <w:r>
        <w:rPr>
          <w:rFonts w:cs="Arial"/>
        </w:rPr>
        <w:t>heres regeln die entsprechenden Ordnungen der Hochschulen.</w:t>
      </w:r>
      <w:r>
        <w:rPr>
          <w:rFonts w:cs="Arial"/>
        </w:rPr>
        <w:t>“</w:t>
      </w:r>
    </w:p>
    <w:p w14:paraId="560236D2" w14:textId="77777777" w:rsidR="008E0D8D" w:rsidRDefault="008E0D8D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b)</w:t>
      </w:r>
      <w:r>
        <w:tab/>
        <w:t>Die bisherigen Abs</w:t>
      </w:r>
      <w:r>
        <w:t>ä</w:t>
      </w:r>
      <w:r>
        <w:t>tze 2 und 3 werden die Abs</w:t>
      </w:r>
      <w:r>
        <w:t>ä</w:t>
      </w:r>
      <w:r>
        <w:t>tze 3 und 4.</w:t>
      </w:r>
    </w:p>
    <w:p w14:paraId="2DFDE723" w14:textId="77777777" w:rsidR="008E0D8D" w:rsidRDefault="008E0D8D">
      <w:pPr>
        <w:pStyle w:val="RVliste2a75nb"/>
        <w:tabs>
          <w:tab w:val="clear" w:pos="720"/>
        </w:tabs>
      </w:pPr>
      <w:r>
        <w:t>c)</w:t>
      </w:r>
      <w:r>
        <w:rPr>
          <w:rFonts w:cs="Arial"/>
        </w:rPr>
        <w:tab/>
        <w:t xml:space="preserve">Absatz 3 (neu) wird wie folgt gefasst: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 xml:space="preserve">(3) Das Berufsfeldpraktikum ist ebenfalls im Rahmen eines lehramtsbezogenen Bachelorstudiums zu leisten und wird in der fachlichen Verantwortung der Hochschulen auf der Grundlage der in </w:t>
      </w:r>
      <w:r>
        <w:rPr>
          <w:rFonts w:cs="Arial"/>
        </w:rPr>
        <w:t>§</w:t>
      </w:r>
      <w:r>
        <w:rPr>
          <w:rFonts w:cs="Arial"/>
        </w:rPr>
        <w:t xml:space="preserve"> 12 Absatz 2 Satz 3 LABG festgelegten Zielvorgaben durchgef</w:t>
      </w:r>
      <w:r>
        <w:rPr>
          <w:rFonts w:cs="Arial"/>
        </w:rPr>
        <w:t>ü</w:t>
      </w:r>
      <w:r>
        <w:rPr>
          <w:rFonts w:cs="Arial"/>
        </w:rPr>
        <w:t>hrt. N</w:t>
      </w:r>
      <w:r>
        <w:rPr>
          <w:rFonts w:cs="Arial"/>
        </w:rPr>
        <w:t>ä</w:t>
      </w:r>
      <w:r>
        <w:rPr>
          <w:rFonts w:cs="Arial"/>
        </w:rPr>
        <w:t>heres regeln die Hochschulen.</w:t>
      </w:r>
      <w:r>
        <w:rPr>
          <w:rFonts w:cs="Arial"/>
        </w:rPr>
        <w:t>“</w:t>
      </w:r>
    </w:p>
    <w:p w14:paraId="0099032F" w14:textId="77777777" w:rsidR="008E0D8D" w:rsidRDefault="008E0D8D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d)</w:t>
      </w:r>
      <w:r>
        <w:tab/>
        <w:t xml:space="preserve">In Absatz 4 (neu) wird Satz 2 wie folgt gefasst: </w:t>
      </w:r>
      <w:r>
        <w:br/>
      </w:r>
      <w:r>
        <w:t>„</w:t>
      </w:r>
      <w:r>
        <w:t>N</w:t>
      </w:r>
      <w:r>
        <w:t>ä</w:t>
      </w:r>
      <w:r>
        <w:t>heres regeln die Rahmenkonzeption zur strukturellen und inhaltlichen Ausgestaltung des Praxissemesters im lehramtsbezogenen Masterstudiengang die von den Leitungen der lehrerausbildenden Hochschulen in Nordrhein-Westfalen mit dem Ministerium f</w:t>
      </w:r>
      <w:r>
        <w:t>ü</w:t>
      </w:r>
      <w:r>
        <w:t>r Schule und Weiterbildung am 14.04.2010 vereinbart wurde und die Zusatzvereinbarung vom 17./21.10.2016 zu dieser Rahmenkonzeption, welche neben den Regelungen unter Nummer 5 dieses Erlasses verbindlich gelten, sowie die entsprechenden Ordnungen der Hochschulen.</w:t>
      </w:r>
      <w:r>
        <w:t>“</w:t>
      </w:r>
    </w:p>
    <w:p w14:paraId="091BD0E8" w14:textId="77777777" w:rsidR="008E0D8D" w:rsidRDefault="008E0D8D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In Nummer 3 Absatz 1 wird Satz 3 wie folgt gefasst: </w:t>
      </w:r>
      <w:r>
        <w:br/>
      </w:r>
      <w:r>
        <w:t>„</w:t>
      </w:r>
      <w:r>
        <w:t>Das Eignungs- und Orientierungspraktikum und das Berufsfeldpraktikum k</w:t>
      </w:r>
      <w:r>
        <w:t>ö</w:t>
      </w:r>
      <w:r>
        <w:t>nnen mit Zustimmung des Ersatzschultr</w:t>
      </w:r>
      <w:r>
        <w:t>ä</w:t>
      </w:r>
      <w:r>
        <w:t>gers auch an genehmigten Ersatzschulen, das Praxissemester mit Zustimmung des Ersatzschultr</w:t>
      </w:r>
      <w:r>
        <w:t>ä</w:t>
      </w:r>
      <w:r>
        <w:t xml:space="preserve">gers an genehmigten Ersatzschulen im Sinne des </w:t>
      </w:r>
      <w:r>
        <w:t>§</w:t>
      </w:r>
      <w:r>
        <w:t xml:space="preserve"> 100 Absatz 1 bis 4 des Schulgesetzes NRW abgeleistet werden.</w:t>
      </w:r>
      <w:r>
        <w:t>“</w:t>
      </w:r>
    </w:p>
    <w:p w14:paraId="0B2A1BEB" w14:textId="77777777" w:rsidR="008E0D8D" w:rsidRDefault="008E0D8D">
      <w:pPr>
        <w:pStyle w:val="RVliste3n75nb"/>
        <w:tabs>
          <w:tab w:val="clear" w:pos="720"/>
        </w:tabs>
      </w:pPr>
      <w:r>
        <w:t>5.</w:t>
      </w:r>
      <w:r>
        <w:tab/>
      </w:r>
      <w:r>
        <w:rPr>
          <w:rFonts w:cs="Calibri"/>
        </w:rPr>
        <w:t xml:space="preserve">In Nummer 3 Absatz 5 werden nach dem Wort </w:t>
      </w:r>
      <w:r>
        <w:rPr>
          <w:rFonts w:cs="Calibri"/>
        </w:rPr>
        <w:t>„</w:t>
      </w:r>
      <w:r>
        <w:rPr>
          <w:rFonts w:cs="Calibri"/>
        </w:rPr>
        <w:t>Kompetenzentwicklung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sowie eine kontinuierliche Eignungsreflexion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697DB7DC" w14:textId="77777777" w:rsidR="008E0D8D" w:rsidRDefault="008E0D8D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 xml:space="preserve">Nach Nummer 3 wird eine neue Nummer 4 mit der </w:t>
      </w:r>
      <w:r>
        <w:t>Ü</w:t>
      </w:r>
      <w:r>
        <w:t xml:space="preserve">berschrift </w:t>
      </w:r>
      <w:r>
        <w:t>„</w:t>
      </w:r>
      <w:r>
        <w:t>Regelungen f</w:t>
      </w:r>
      <w:r>
        <w:t>ü</w:t>
      </w:r>
      <w:r>
        <w:t>r das Eignungs- und Orientierungspraktikum in Schulen und Zentren f</w:t>
      </w:r>
      <w:r>
        <w:t>ü</w:t>
      </w:r>
      <w:r>
        <w:t>r schulpraktische Lehrerausbildung</w:t>
      </w:r>
      <w:r>
        <w:t>“</w:t>
      </w:r>
      <w:r>
        <w:t xml:space="preserve"> eingef</w:t>
      </w:r>
      <w:r>
        <w:t>ü</w:t>
      </w:r>
      <w:r>
        <w:t xml:space="preserve">gt: </w:t>
      </w:r>
      <w:r>
        <w:br/>
      </w:r>
      <w:r>
        <w:t>„</w:t>
      </w:r>
      <w:r>
        <w:t xml:space="preserve">(1) Die Zielsetzung des Eignungs- und Orientierungspraktikums wird durch </w:t>
      </w:r>
      <w:r>
        <w:t>§</w:t>
      </w:r>
      <w:r>
        <w:t xml:space="preserve"> 7 LZV vorgegeben. </w:t>
      </w:r>
      <w:r>
        <w:br/>
        <w:t>(2) F</w:t>
      </w:r>
      <w:r>
        <w:t>ü</w:t>
      </w:r>
      <w:r>
        <w:t>r das Eignungs- und Orientierungspraktikum sind alle Schulen zugelassen mit Ausnahme von Schulen, welche die Praktikantin oder der Praktikant als Sch</w:t>
      </w:r>
      <w:r>
        <w:t>ü</w:t>
      </w:r>
      <w:r>
        <w:t>lerin oder Sch</w:t>
      </w:r>
      <w:r>
        <w:t>ü</w:t>
      </w:r>
      <w:r>
        <w:t xml:space="preserve">ler selbst besucht hat. </w:t>
      </w:r>
      <w:r>
        <w:br/>
        <w:t>(3) Das Eignungs- und Orientierungspraktikum ist grunds</w:t>
      </w:r>
      <w:r>
        <w:t>ä</w:t>
      </w:r>
      <w:r>
        <w:t>tzlich auf ein Schulhalbjahr bezogen und soll m</w:t>
      </w:r>
      <w:r>
        <w:t>ö</w:t>
      </w:r>
      <w:r>
        <w:t>glichst innerhalb von f</w:t>
      </w:r>
      <w:r>
        <w:t>ü</w:t>
      </w:r>
      <w:r>
        <w:t>nf Wochen geleistet werden (</w:t>
      </w:r>
      <w:r>
        <w:t>§</w:t>
      </w:r>
      <w:r>
        <w:t xml:space="preserve"> 12 Absatz 1 Nummer 1 LABG). </w:t>
      </w:r>
      <w:r>
        <w:br/>
        <w:t>(4) Schulen mit bis zu 15 vollen Lehrerstellen bieten j</w:t>
      </w:r>
      <w:r>
        <w:t>ä</w:t>
      </w:r>
      <w:r>
        <w:t>hrlich mindestens drei, Schulen mit mehr als 15 vollen Lehrerstellen bieten j</w:t>
      </w:r>
      <w:r>
        <w:t>ä</w:t>
      </w:r>
      <w:r>
        <w:t>hrlich mindestens f</w:t>
      </w:r>
      <w:r>
        <w:t>ü</w:t>
      </w:r>
      <w:r>
        <w:t>nf Praktikumspl</w:t>
      </w:r>
      <w:r>
        <w:t>ä</w:t>
      </w:r>
      <w:r>
        <w:t>tze f</w:t>
      </w:r>
      <w:r>
        <w:t>ü</w:t>
      </w:r>
      <w:r>
        <w:t>r das Eignungs- und Orientierungspraktikum an, die nach M</w:t>
      </w:r>
      <w:r>
        <w:t>ö</w:t>
      </w:r>
      <w:r>
        <w:t>glichkeit auf beide Schulhalbjahre verteilt werden sollen.</w:t>
      </w:r>
      <w:r>
        <w:t>“</w:t>
      </w:r>
    </w:p>
    <w:p w14:paraId="17035EEF" w14:textId="77777777" w:rsidR="008E0D8D" w:rsidRDefault="008E0D8D">
      <w:pPr>
        <w:pStyle w:val="RVliste3n75nb"/>
        <w:tabs>
          <w:tab w:val="clear" w:pos="720"/>
        </w:tabs>
      </w:pPr>
      <w:r>
        <w:t>7.</w:t>
      </w:r>
      <w:r>
        <w:tab/>
      </w:r>
      <w:r>
        <w:rPr>
          <w:rFonts w:cs="Calibri"/>
        </w:rPr>
        <w:t xml:space="preserve">Die bisherige Nummer 4 wird Nummer 5 und Absatz 6 Satz 2 wird wie folgt gefasst: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Das Praxissemester f</w:t>
      </w:r>
      <w:r>
        <w:rPr>
          <w:rFonts w:cs="Calibri"/>
        </w:rPr>
        <w:t>ü</w:t>
      </w:r>
      <w:r>
        <w:rPr>
          <w:rFonts w:cs="Calibri"/>
        </w:rPr>
        <w:t>r das Lehramt an Haupt-, Real-, Sekundar- und Gesamtschulen kann auch an Gemeinschaftsschulen absolviert werden.</w:t>
      </w:r>
      <w:r>
        <w:rPr>
          <w:rFonts w:cs="Calibri"/>
        </w:rPr>
        <w:t>“</w:t>
      </w:r>
    </w:p>
    <w:p w14:paraId="775DB71C" w14:textId="77777777" w:rsidR="008E0D8D" w:rsidRDefault="008E0D8D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8.</w:t>
      </w:r>
      <w:r>
        <w:rPr>
          <w:rFonts w:cs="Calibri"/>
        </w:rPr>
        <w:tab/>
      </w:r>
      <w:r>
        <w:t>In Nummer 5 (neu) Absatz 7 wird nach Satz 1 folgender Satz 2 an-gef</w:t>
      </w:r>
      <w:r>
        <w:t>ü</w:t>
      </w:r>
      <w:r>
        <w:t xml:space="preserve">gt: </w:t>
      </w:r>
      <w:r>
        <w:br/>
      </w:r>
      <w:r>
        <w:t>„</w:t>
      </w:r>
      <w:r>
        <w:t>Die T</w:t>
      </w:r>
      <w:r>
        <w:t>ä</w:t>
      </w:r>
      <w:r>
        <w:t>tigkeit am Lernort Schule setzt die Vorlage eines erweiterten F</w:t>
      </w:r>
      <w:r>
        <w:t>ü</w:t>
      </w:r>
      <w:r>
        <w:t>hrungszeugnisses gem</w:t>
      </w:r>
      <w:r>
        <w:t>äß</w:t>
      </w:r>
      <w:r>
        <w:t xml:space="preserve"> </w:t>
      </w:r>
      <w:r>
        <w:t>§</w:t>
      </w:r>
      <w:r>
        <w:t xml:space="preserve"> 12 Absatz 4 LABG voraus.</w:t>
      </w:r>
      <w:r>
        <w:t>“</w:t>
      </w:r>
    </w:p>
    <w:p w14:paraId="6146A787" w14:textId="77777777" w:rsidR="008E0D8D" w:rsidRDefault="008E0D8D">
      <w:pPr>
        <w:pStyle w:val="RVliste3n75nb"/>
        <w:tabs>
          <w:tab w:val="clear" w:pos="720"/>
        </w:tabs>
      </w:pPr>
      <w:r>
        <w:t>9.</w:t>
      </w:r>
      <w:r>
        <w:tab/>
      </w:r>
      <w:r>
        <w:rPr>
          <w:rFonts w:cs="Calibri"/>
        </w:rPr>
        <w:t xml:space="preserve">Nummer 5 (neu) Absatz 8 wird ab Satz 3 wie folgt gefasst: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Nachzuweisen sind im Rahmen der Anwesenheitszeiten im Unter-richt unter Begleitung mindestens 50 und maximal 70 Unterrichts-stunden. Unterricht unter Begleitung soll sich soweit m</w:t>
      </w:r>
      <w:r>
        <w:rPr>
          <w:rFonts w:cs="Calibri"/>
        </w:rPr>
        <w:t>ö</w:t>
      </w:r>
      <w:r>
        <w:rPr>
          <w:rFonts w:cs="Calibri"/>
        </w:rPr>
        <w:t>glich auf verschiedene F</w:t>
      </w:r>
      <w:r>
        <w:rPr>
          <w:rFonts w:cs="Calibri"/>
        </w:rPr>
        <w:t>ä</w:t>
      </w:r>
      <w:r>
        <w:rPr>
          <w:rFonts w:cs="Calibri"/>
        </w:rPr>
        <w:t>cher verteilen und in jedem Fach mindestens ein Unterrichtsvorhaben im Umfang von f</w:t>
      </w:r>
      <w:r>
        <w:rPr>
          <w:rFonts w:cs="Calibri"/>
        </w:rPr>
        <w:t>ü</w:t>
      </w:r>
      <w:r>
        <w:rPr>
          <w:rFonts w:cs="Calibri"/>
        </w:rPr>
        <w:t>nf bis 15 Unterrichtsstunden umfassen. In den Ausbildungsschulen wird unter Beachtung sowohl der Lernentwicklung der Studierenden als auch der schulischen M</w:t>
      </w:r>
      <w:r>
        <w:rPr>
          <w:rFonts w:cs="Calibri"/>
        </w:rPr>
        <w:t>ö</w:t>
      </w:r>
      <w:r>
        <w:rPr>
          <w:rFonts w:cs="Calibri"/>
        </w:rPr>
        <w:t>glichkeiten der Umfang der Unterrichtsstunden innerhalb der in Satz 3 genannten Bandbreite festgelegt. Eigenst</w:t>
      </w:r>
      <w:r>
        <w:rPr>
          <w:rFonts w:cs="Calibri"/>
        </w:rPr>
        <w:t>ä</w:t>
      </w:r>
      <w:r>
        <w:rPr>
          <w:rFonts w:cs="Calibri"/>
        </w:rPr>
        <w:t>ndige Unterrichtselemente werden unabh</w:t>
      </w:r>
      <w:r>
        <w:rPr>
          <w:rFonts w:cs="Calibri"/>
        </w:rPr>
        <w:t>ä</w:t>
      </w:r>
      <w:r>
        <w:rPr>
          <w:rFonts w:cs="Calibri"/>
        </w:rPr>
        <w:t>ngig von ihrem exakten Zeitumfang als Unterrichtsstunde gez</w:t>
      </w:r>
      <w:r>
        <w:rPr>
          <w:rFonts w:cs="Calibri"/>
        </w:rPr>
        <w:t>ä</w:t>
      </w:r>
      <w:r>
        <w:rPr>
          <w:rFonts w:cs="Calibri"/>
        </w:rPr>
        <w:t>hlt. Zur Ausbildung geh</w:t>
      </w:r>
      <w:r>
        <w:rPr>
          <w:rFonts w:cs="Calibri"/>
        </w:rPr>
        <w:t>ö</w:t>
      </w:r>
      <w:r>
        <w:rPr>
          <w:rFonts w:cs="Calibri"/>
        </w:rPr>
        <w:t>ren neben dem Unterricht unter Begleitung: Unterrichtshospitationen, die Teilnahme an Konferenzen, an der Beratung von Erziehungsberechtigten und an verschiedenen Formen des Schullebens (zum Beispiel alle Formen von Klassenfahrten, Ganztagsaktivit</w:t>
      </w:r>
      <w:r>
        <w:rPr>
          <w:rFonts w:cs="Calibri"/>
        </w:rPr>
        <w:t>ä</w:t>
      </w:r>
      <w:r>
        <w:rPr>
          <w:rFonts w:cs="Calibri"/>
        </w:rPr>
        <w:t>ten, Pausenaufsichten) sowie die Durchf</w:t>
      </w:r>
      <w:r>
        <w:rPr>
          <w:rFonts w:cs="Calibri"/>
        </w:rPr>
        <w:t>ü</w:t>
      </w:r>
      <w:r>
        <w:rPr>
          <w:rFonts w:cs="Calibri"/>
        </w:rPr>
        <w:t>hrung von mindestens einem und maximal drei Studienprojekten in den Bildungswissenschaften oder in den F</w:t>
      </w:r>
      <w:r>
        <w:rPr>
          <w:rFonts w:cs="Calibri"/>
        </w:rPr>
        <w:t>ä</w:t>
      </w:r>
      <w:r>
        <w:rPr>
          <w:rFonts w:cs="Calibri"/>
        </w:rPr>
        <w:t>chern. Die genaue Anzahl der durchzuf</w:t>
      </w:r>
      <w:r>
        <w:rPr>
          <w:rFonts w:cs="Calibri"/>
        </w:rPr>
        <w:t>ü</w:t>
      </w:r>
      <w:r>
        <w:rPr>
          <w:rFonts w:cs="Calibri"/>
        </w:rPr>
        <w:t>hrenden Studienprojekte wird durch die Hochschule innerhalb der in Satz 7 genannten Bandbreite festgelegt.</w:t>
      </w:r>
      <w:r>
        <w:rPr>
          <w:rFonts w:cs="Calibri"/>
        </w:rPr>
        <w:t>“</w:t>
      </w:r>
    </w:p>
    <w:p w14:paraId="6E95D7B5" w14:textId="77777777" w:rsidR="008E0D8D" w:rsidRDefault="008E0D8D">
      <w:pPr>
        <w:pStyle w:val="RVfliesstext175nb"/>
      </w:pPr>
    </w:p>
    <w:p w14:paraId="058129A7" w14:textId="77777777" w:rsidR="008E0D8D" w:rsidRDefault="008E0D8D">
      <w:pPr>
        <w:pStyle w:val="RVfliesstext175nb"/>
        <w:jc w:val="right"/>
      </w:pPr>
      <w:r>
        <w:rPr>
          <w:rFonts w:cs="Arial"/>
        </w:rPr>
        <w:t>ABl. NRW. 01/2017 S. 40</w:t>
      </w:r>
    </w:p>
    <w:p w14:paraId="4727988D" w14:textId="77777777" w:rsidR="008E0D8D" w:rsidRDefault="008E0D8D">
      <w:pPr>
        <w:pStyle w:val="RVfliesstext175nb"/>
        <w:rPr>
          <w:rFonts w:cs="Arial"/>
        </w:rPr>
      </w:pPr>
    </w:p>
    <w:sectPr w:rsidR="00000000">
      <w:footerReference w:type="even" r:id="rId7"/>
      <w:footerReference w:type="default" r:id="rId8"/>
      <w:footerReference w:type="first" r:id="rId9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90D91" w14:textId="77777777" w:rsidR="008E0D8D" w:rsidRDefault="008E0D8D">
      <w:r>
        <w:separator/>
      </w:r>
    </w:p>
  </w:endnote>
  <w:endnote w:type="continuationSeparator" w:id="0">
    <w:p w14:paraId="7FAF59BC" w14:textId="77777777" w:rsidR="008E0D8D" w:rsidRDefault="008E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502F" w14:textId="77777777" w:rsidR="008E0D8D" w:rsidRDefault="008E0D8D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B54B" w14:textId="77777777" w:rsidR="008E0D8D" w:rsidRDefault="008E0D8D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6D43" w14:textId="77777777" w:rsidR="008E0D8D" w:rsidRDefault="008E0D8D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6B8D" w14:textId="77777777" w:rsidR="008E0D8D" w:rsidRDefault="008E0D8D">
      <w:r>
        <w:separator/>
      </w:r>
    </w:p>
  </w:footnote>
  <w:footnote w:type="continuationSeparator" w:id="0">
    <w:p w14:paraId="508B166F" w14:textId="77777777" w:rsidR="008E0D8D" w:rsidRDefault="008E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38AC"/>
    <w:rsid w:val="008E0D8D"/>
    <w:rsid w:val="00A138AC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5264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Calibri"/>
      <w:b/>
      <w:color w:val="000000"/>
      <w:sz w:val="28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Calibri"/>
      <w:color w:val="000000"/>
      <w:sz w:val="22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2024-09-10T02:43:00Z</dcterms:created>
  <dcterms:modified xsi:type="dcterms:W3CDTF">2024-09-10T02:43:00Z</dcterms:modified>
</cp:coreProperties>
</file>