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82C61" w14:textId="77777777" w:rsidR="00406083" w:rsidRDefault="00406083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05"/>
      </w:tblGrid>
      <w:tr w:rsidR="00000000" w14:paraId="076AC472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14:paraId="30FB508B" w14:textId="77777777" w:rsidR="00406083" w:rsidRDefault="00406083">
            <w:pPr>
              <w:pStyle w:val="RVfliesstext175fb"/>
              <w:rPr>
                <w:rFonts w:cs="Calibri"/>
              </w:rPr>
            </w:pPr>
            <w:r>
              <w:t>Fort- und Weiterbildung</w:t>
            </w:r>
          </w:p>
          <w:p w14:paraId="344DAD07" w14:textId="77777777" w:rsidR="00406083" w:rsidRDefault="00406083">
            <w:pPr>
              <w:pStyle w:val="RVfliesstext175nb"/>
            </w:pPr>
            <w:r>
              <w:rPr>
                <w:rFonts w:cs="Arial"/>
              </w:rPr>
              <w:t>Schulentwicklungsberatung macht die Schule als System zum Gegenstand und ist ein ganzheitliches Unterst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tzungsangebot, insbesondere bei weitreichenden Ver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nderungsprozessen. Sie nutzt Verfahren systemischer Organisationsberatung und Organisationsentwicklung und st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rkt eigenverantwortliche Schulen durch den Aufbau innerer Strukturen und eine Verzahnung von Organisations-, Personal- und Unterrichtsentwicklung.</w:t>
            </w:r>
          </w:p>
          <w:p w14:paraId="22F3B8CA" w14:textId="77777777" w:rsidR="00406083" w:rsidRDefault="00406083">
            <w:pPr>
              <w:pStyle w:val="RVfliesstext175nb"/>
            </w:pPr>
            <w:r>
              <w:rPr>
                <w:rFonts w:cs="Arial"/>
              </w:rPr>
              <w:t>Adressaten des Unterst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tzungsangebotes sind Kollegien oder Teilgruppen. Die modulare, prozessorientierte Struktur des Angebotes sichert einen passgenauen Zuschnitt der Unterst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tzung auf den Bedarf der einzelnen Schule. Die Module bestehen aus Theoriebausteinen und praktischen Trainingseinheiten. Ziel der Fortbildung ist die Erarbeitung konkreter Handlungsschritte.</w:t>
            </w:r>
          </w:p>
          <w:p w14:paraId="7B04EFA7" w14:textId="77777777" w:rsidR="00406083" w:rsidRDefault="00406083">
            <w:pPr>
              <w:pStyle w:val="RVfliesstext175nb"/>
            </w:pPr>
            <w:r>
              <w:rPr>
                <w:rFonts w:cs="Arial"/>
              </w:rPr>
              <w:t>Der Erlass gilt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F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rderschulen, Gemeinschaftsschulen, Gesamtschulen, Grundschulen, Gymnasien, Hauptschulen, Primusschulen, Sekundarschulen, Realschulen und Weiterbildungskollegs.</w:t>
            </w:r>
          </w:p>
        </w:tc>
      </w:tr>
    </w:tbl>
    <w:p w14:paraId="25FEF6BF" w14:textId="77777777" w:rsidR="00406083" w:rsidRDefault="00406083">
      <w:pPr>
        <w:pStyle w:val="BASS-Nr-ABl"/>
        <w:widowControl/>
        <w:rPr>
          <w:rFonts w:cs="Arial"/>
        </w:rPr>
      </w:pPr>
      <w:r>
        <w:rPr>
          <w:rFonts w:cs="Arial"/>
        </w:rPr>
        <w:t xml:space="preserve">Zu BASS </w:t>
      </w:r>
      <w:r>
        <w:t>20-22 Nr. 8</w:t>
      </w:r>
    </w:p>
    <w:p w14:paraId="414CD31B" w14:textId="77777777" w:rsidR="00406083" w:rsidRDefault="00406083">
      <w:pPr>
        <w:pStyle w:val="RVueberschrift1100fz"/>
        <w:keepNext/>
        <w:keepLines/>
      </w:pPr>
      <w:r>
        <w:rPr>
          <w:rFonts w:cs="Calibri"/>
        </w:rPr>
        <w:t xml:space="preserve">Fort- und Weiterbildung; </w:t>
      </w:r>
      <w:r>
        <w:rPr>
          <w:rFonts w:cs="Calibri"/>
        </w:rPr>
        <w:br/>
        <w:t>Strukturen und Inhalte der Fort- und Weiterbildung f</w:t>
      </w:r>
      <w:r>
        <w:rPr>
          <w:rFonts w:cs="Calibri"/>
        </w:rPr>
        <w:t>ü</w:t>
      </w:r>
      <w:r>
        <w:rPr>
          <w:rFonts w:cs="Calibri"/>
        </w:rPr>
        <w:t>r das Schulpersonal (</w:t>
      </w:r>
      <w:r>
        <w:rPr>
          <w:rFonts w:cs="Calibri"/>
        </w:rPr>
        <w:t>§§</w:t>
      </w:r>
      <w:r>
        <w:rPr>
          <w:rFonts w:cs="Calibri"/>
        </w:rPr>
        <w:t xml:space="preserve"> 57-60 SchulG); </w:t>
      </w:r>
      <w:r>
        <w:rPr>
          <w:rFonts w:cs="Calibri"/>
        </w:rPr>
        <w:br/>
        <w:t>Erg</w:t>
      </w:r>
      <w:r>
        <w:rPr>
          <w:rFonts w:cs="Calibri"/>
        </w:rPr>
        <w:t>ä</w:t>
      </w:r>
      <w:r>
        <w:rPr>
          <w:rFonts w:cs="Calibri"/>
        </w:rPr>
        <w:t xml:space="preserve">nzung Anlage 4 Teil 1 </w:t>
      </w:r>
      <w:r>
        <w:rPr>
          <w:rFonts w:cs="Calibri"/>
        </w:rPr>
        <w:br/>
      </w:r>
      <w:r>
        <w:rPr>
          <w:rFonts w:cs="Calibri"/>
        </w:rPr>
        <w:t>„</w:t>
      </w:r>
      <w:r>
        <w:rPr>
          <w:rFonts w:cs="Calibri"/>
        </w:rPr>
        <w:t>Schulentwicklungsberatung</w:t>
      </w:r>
      <w:r>
        <w:rPr>
          <w:rFonts w:cs="Calibri"/>
        </w:rPr>
        <w:t>“</w:t>
      </w:r>
    </w:p>
    <w:p w14:paraId="3B4B84DB" w14:textId="77777777" w:rsidR="00406083" w:rsidRDefault="00406083">
      <w:pPr>
        <w:pStyle w:val="RVueberschrift285nz"/>
        <w:keepNext/>
        <w:widowControl/>
        <w:rPr>
          <w:rFonts w:cs="Arial"/>
        </w:rPr>
      </w:pPr>
      <w:r>
        <w:t>RdErl. d. Ministeriums f</w:t>
      </w:r>
      <w:r>
        <w:t>ü</w:t>
      </w:r>
      <w:r>
        <w:t xml:space="preserve">r Schule und Weiterbildung </w:t>
      </w:r>
      <w:r>
        <w:br/>
        <w:t>v. 04.11.2016 - 412-6.07.01-121515</w:t>
      </w:r>
    </w:p>
    <w:p w14:paraId="5B349B6D" w14:textId="77777777" w:rsidR="00406083" w:rsidRDefault="00406083">
      <w:pPr>
        <w:pStyle w:val="RVfliesstext175fb"/>
      </w:pPr>
      <w:r>
        <w:rPr>
          <w:rFonts w:cs="Calibri"/>
        </w:rPr>
        <w:t>Bezug:</w:t>
      </w:r>
    </w:p>
    <w:p w14:paraId="0C3B8496" w14:textId="77777777" w:rsidR="00406083" w:rsidRDefault="00406083">
      <w:pPr>
        <w:pStyle w:val="RVfliesstext175nb"/>
        <w:rPr>
          <w:rFonts w:cs="Arial"/>
        </w:rPr>
      </w:pPr>
      <w:r>
        <w:t>RdErl. d. Ministeriums f</w:t>
      </w:r>
      <w:r>
        <w:t>ü</w:t>
      </w:r>
      <w:r>
        <w:t xml:space="preserve">r Schule und Weiterbildung v. 06.04.2014 </w:t>
      </w:r>
      <w:r>
        <w:br/>
        <w:t>(BASS 20-22 Nr. 8)</w:t>
      </w:r>
    </w:p>
    <w:p w14:paraId="625A15C1" w14:textId="77777777" w:rsidR="00406083" w:rsidRDefault="00406083">
      <w:pPr>
        <w:pStyle w:val="RVfliesstext175nb"/>
        <w:rPr>
          <w:rFonts w:cs="Arial"/>
        </w:rPr>
      </w:pPr>
      <w:r>
        <w:t>An die Anlage 4 des Bezugserlasses wird angef</w:t>
      </w:r>
      <w:r>
        <w:t>ü</w:t>
      </w:r>
      <w:r>
        <w:t>gt:</w:t>
      </w:r>
    </w:p>
    <w:p w14:paraId="35016DD9" w14:textId="77777777" w:rsidR="00406083" w:rsidRDefault="00406083">
      <w:pPr>
        <w:pStyle w:val="RVueberschrift1100fz"/>
        <w:keepNext/>
        <w:keepLines/>
      </w:pPr>
      <w:r>
        <w:rPr>
          <w:rFonts w:cs="Calibri"/>
        </w:rPr>
        <w:t>„</w:t>
      </w:r>
      <w:r>
        <w:rPr>
          <w:rFonts w:cs="Calibri"/>
        </w:rPr>
        <w:t>Schulentwicklungsberatung</w:t>
      </w:r>
    </w:p>
    <w:p w14:paraId="12DFE46B" w14:textId="77777777" w:rsidR="00406083" w:rsidRDefault="00406083">
      <w:pPr>
        <w:pStyle w:val="RVfliesstext175nb"/>
        <w:rPr>
          <w:rFonts w:cs="Arial"/>
        </w:rPr>
      </w:pPr>
      <w:r>
        <w:t>Ziel des Angebotes ist die Unterst</w:t>
      </w:r>
      <w:r>
        <w:t>ü</w:t>
      </w:r>
      <w:r>
        <w:t>tzung systemischer Entwicklungsprozesse in eigenverantwortlichen Schulen in den bildungspolitischen Schwerpunkten des Landes NRW. Die Schulentwicklungsberaterinnen und -berater unterst</w:t>
      </w:r>
      <w:r>
        <w:t>ü</w:t>
      </w:r>
      <w:r>
        <w:t>tzen und beraten Schulen dabei, die Qualit</w:t>
      </w:r>
      <w:r>
        <w:t>ä</w:t>
      </w:r>
      <w:r>
        <w:t>t ihrer Arbeit zu entwickeln und zu sichern. Sie nutzen dabei auch die Ergebnisse der Kooperation in regionalen Netzwerken f</w:t>
      </w:r>
      <w:r>
        <w:t>ü</w:t>
      </w:r>
      <w:r>
        <w:t>r den eigenen Entwicklungsprozess.</w:t>
      </w:r>
    </w:p>
    <w:p w14:paraId="324A9465" w14:textId="77777777" w:rsidR="00406083" w:rsidRDefault="00406083">
      <w:pPr>
        <w:pStyle w:val="RVfliesstext175nb"/>
        <w:rPr>
          <w:rFonts w:cs="Arial"/>
        </w:rPr>
      </w:pPr>
      <w:r>
        <w:t>Schulentwicklungsberatung macht die Schule als System zum Gegen-stand und ist ein ganzheitliches Unterst</w:t>
      </w:r>
      <w:r>
        <w:t>ü</w:t>
      </w:r>
      <w:r>
        <w:t>tzungsangebot, insbesondere bei weitreichenden Ver</w:t>
      </w:r>
      <w:r>
        <w:t>ä</w:t>
      </w:r>
      <w:r>
        <w:t>nderungsprozessen. Sie nutzt Verfahren systemischer Organisationsberatung und Organisationsentwicklung und st</w:t>
      </w:r>
      <w:r>
        <w:t>ä</w:t>
      </w:r>
      <w:r>
        <w:t>rkt eigenverantwortliche Schulen durch den Aufbau innerer Strukturen und eine Verzahnung von Organisations-, Personal- und Unterrichtsentwicklung.</w:t>
      </w:r>
    </w:p>
    <w:p w14:paraId="722BB104" w14:textId="77777777" w:rsidR="00406083" w:rsidRDefault="00406083">
      <w:pPr>
        <w:pStyle w:val="RVfliesstext175nb"/>
        <w:rPr>
          <w:rFonts w:cs="Arial"/>
        </w:rPr>
      </w:pPr>
      <w:r>
        <w:t>Im Rahmen eines l</w:t>
      </w:r>
      <w:r>
        <w:t>ä</w:t>
      </w:r>
      <w:r>
        <w:t>ngerfristig angelegten Beratungs- und Qualifizierungsprozesses einer Schule werden Verfahren vermittelt, Instrumente vorgestellt und erprobt, die geeignet sind, das Schulprogramm als zentrales Steuerungsinstrument f</w:t>
      </w:r>
      <w:r>
        <w:t>ü</w:t>
      </w:r>
      <w:r>
        <w:t>r eine qualit</w:t>
      </w:r>
      <w:r>
        <w:t>ä</w:t>
      </w:r>
      <w:r>
        <w:t>tsorientierte Schulentwicklung weiterzuentwickeln.</w:t>
      </w:r>
    </w:p>
    <w:p w14:paraId="1132EDDA" w14:textId="77777777" w:rsidR="00406083" w:rsidRDefault="00406083">
      <w:pPr>
        <w:pStyle w:val="RVfliesstext175nb"/>
        <w:rPr>
          <w:rFonts w:cs="Arial"/>
        </w:rPr>
      </w:pPr>
      <w:r>
        <w:t>Adressaten des Unterst</w:t>
      </w:r>
      <w:r>
        <w:t>ü</w:t>
      </w:r>
      <w:r>
        <w:t>tzungsangebotes sind Kollegien oder Teilgruppen. Schulentwicklungsberaterinnen und -berater kooperieren in gemeinsamer Verantwortung und auf der Basis definierter Zust</w:t>
      </w:r>
      <w:r>
        <w:t>ä</w:t>
      </w:r>
      <w:r>
        <w:t>ndigkeiten in einem transparenten Prozess mit der jeweiligen schulfachlichen Aufsicht, der Qualit</w:t>
      </w:r>
      <w:r>
        <w:t>ä</w:t>
      </w:r>
      <w:r>
        <w:t>tsanalyse und anderen Fortbildungsakteuren in den Fortbildungsprogrammen der Kompetenzteams NRW.</w:t>
      </w:r>
    </w:p>
    <w:p w14:paraId="69DB805C" w14:textId="77777777" w:rsidR="00406083" w:rsidRDefault="00406083">
      <w:pPr>
        <w:pStyle w:val="RVfliesstext175nb"/>
        <w:rPr>
          <w:rFonts w:cs="Arial"/>
        </w:rPr>
      </w:pPr>
      <w:r>
        <w:t>Schulentwicklungsberaterinnen und -berater werden auf Anfrage der Schulleitung - auf der Basis eines in den schulischen Gremien erfolgten Abstimmungsprozesses - t</w:t>
      </w:r>
      <w:r>
        <w:t>ä</w:t>
      </w:r>
      <w:r>
        <w:t>tig.</w:t>
      </w:r>
    </w:p>
    <w:p w14:paraId="24D84428" w14:textId="77777777" w:rsidR="00406083" w:rsidRDefault="00406083">
      <w:pPr>
        <w:pStyle w:val="RVfliesstext175nb"/>
        <w:rPr>
          <w:rFonts w:cs="Arial"/>
        </w:rPr>
      </w:pPr>
      <w:r>
        <w:t>Dauer, Schwerpunkte und Umfang der Beratung und Unterst</w:t>
      </w:r>
      <w:r>
        <w:t>ü</w:t>
      </w:r>
      <w:r>
        <w:t>tzung orientieren sich an den durch die Schule unter Beteiligung der Gremien definierten Bedarfen. Die Ziel- und Auftragskl</w:t>
      </w:r>
      <w:r>
        <w:t>ä</w:t>
      </w:r>
      <w:r>
        <w:t>rung mit der Schule wird in einer Vereinbarung (Kontrakt) schriftlich festgehalten. In der Regel wird ein Kontrakt f</w:t>
      </w:r>
      <w:r>
        <w:t>ü</w:t>
      </w:r>
      <w:r>
        <w:t>r bis zu acht Beratungssitzungen geschlossen.</w:t>
      </w:r>
    </w:p>
    <w:p w14:paraId="17BB7A3E" w14:textId="77777777" w:rsidR="00406083" w:rsidRDefault="00406083">
      <w:pPr>
        <w:pStyle w:val="RVfliesstext175nb"/>
        <w:rPr>
          <w:rFonts w:cs="Arial"/>
        </w:rPr>
      </w:pPr>
      <w:r>
        <w:t>Die modulare, prozessorientierte Struktur des Angebotes sichert einen passgenauen Zuschnitt der Unterst</w:t>
      </w:r>
      <w:r>
        <w:t>ü</w:t>
      </w:r>
      <w:r>
        <w:t>tzung auf den Bedarf der einzelnen Schule. Die Module bestehen aus Theoriebausteinen und praktischen Trainingseinheiten. Ziel der Beratung ist die Erarbeitung konkreter Handlungsschritte.</w:t>
      </w:r>
    </w:p>
    <w:p w14:paraId="0E4D497C" w14:textId="77777777" w:rsidR="00406083" w:rsidRDefault="00406083">
      <w:pPr>
        <w:pStyle w:val="RVfliesstext175nb"/>
        <w:rPr>
          <w:rFonts w:cs="Arial"/>
        </w:rPr>
      </w:pPr>
      <w:r>
        <w:t>Im Rahmen der Ma</w:t>
      </w:r>
      <w:r>
        <w:t>ß</w:t>
      </w:r>
      <w:r>
        <w:t>nahme k</w:t>
      </w:r>
      <w:r>
        <w:t>ö</w:t>
      </w:r>
      <w:r>
        <w:t>nnen die folgenden Module gebucht werden:</w:t>
      </w:r>
    </w:p>
    <w:p w14:paraId="4608CCEC" w14:textId="77777777" w:rsidR="00406083" w:rsidRDefault="00406083">
      <w:pPr>
        <w:pStyle w:val="RVueberschrift285fz"/>
        <w:keepNext/>
        <w:keepLines/>
      </w:pPr>
      <w:r>
        <w:rPr>
          <w:rFonts w:cs="Calibri"/>
        </w:rPr>
        <w:t>1 Qualit</w:t>
      </w:r>
      <w:r>
        <w:rPr>
          <w:rFonts w:cs="Calibri"/>
        </w:rPr>
        <w:t>ä</w:t>
      </w:r>
      <w:r>
        <w:rPr>
          <w:rFonts w:cs="Calibri"/>
        </w:rPr>
        <w:t>tsmanagement - Das Schulprogramm zum zentralen Steuerungsinstrument der Schule entwickeln</w:t>
      </w:r>
    </w:p>
    <w:p w14:paraId="5AAA6063" w14:textId="77777777" w:rsidR="00406083" w:rsidRDefault="00406083">
      <w:pPr>
        <w:pStyle w:val="RVliste3u75nl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Qualit</w:t>
      </w:r>
      <w:r>
        <w:t>ä</w:t>
      </w:r>
      <w:r>
        <w:t>tskreislauf in Schule kennenlernen</w:t>
      </w:r>
    </w:p>
    <w:p w14:paraId="554089F5" w14:textId="77777777" w:rsidR="00406083" w:rsidRDefault="00406083">
      <w:pPr>
        <w:pStyle w:val="RVliste3u75nl"/>
      </w:pPr>
      <w:r>
        <w:t>-</w:t>
      </w:r>
      <w:r>
        <w:tab/>
      </w:r>
      <w:r>
        <w:rPr>
          <w:rFonts w:cs="Calibri"/>
        </w:rPr>
        <w:t>Visionen und Leitbilder entwickeln</w:t>
      </w:r>
    </w:p>
    <w:p w14:paraId="27F96D99" w14:textId="77777777" w:rsidR="00406083" w:rsidRDefault="00406083">
      <w:pPr>
        <w:pStyle w:val="RVliste3u75nl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 xml:space="preserve">Entwicklungsstrategien erarbeiten </w:t>
      </w:r>
    </w:p>
    <w:p w14:paraId="26EE4825" w14:textId="77777777" w:rsidR="00406083" w:rsidRDefault="00406083">
      <w:pPr>
        <w:pStyle w:val="RVliste3u75nl"/>
      </w:pPr>
      <w:r>
        <w:t>-</w:t>
      </w:r>
      <w:r>
        <w:tab/>
      </w:r>
      <w:r>
        <w:rPr>
          <w:rFonts w:cs="Calibri"/>
        </w:rPr>
        <w:t>Grundlagen von Projektmanagement kennenlernen</w:t>
      </w:r>
    </w:p>
    <w:p w14:paraId="1E528ACF" w14:textId="77777777" w:rsidR="00406083" w:rsidRDefault="00406083">
      <w:pPr>
        <w:pStyle w:val="RVliste3u75nl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Verfahren interner Evaluation implementieren</w:t>
      </w:r>
    </w:p>
    <w:p w14:paraId="5FA3F918" w14:textId="77777777" w:rsidR="00406083" w:rsidRDefault="00406083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Ergebnisse externer Evaluation f</w:t>
      </w:r>
      <w:r>
        <w:t>ü</w:t>
      </w:r>
      <w:r>
        <w:t>r den Entwicklungsprozess der Schule nutzen (Qualit</w:t>
      </w:r>
      <w:r>
        <w:t>ä</w:t>
      </w:r>
      <w:r>
        <w:t>tsanalyse).</w:t>
      </w:r>
    </w:p>
    <w:p w14:paraId="3097FC04" w14:textId="77777777" w:rsidR="00406083" w:rsidRDefault="00406083">
      <w:pPr>
        <w:pStyle w:val="RVueberschrift285fz"/>
        <w:keepNext/>
        <w:keepLines/>
      </w:pPr>
      <w:r>
        <w:rPr>
          <w:rFonts w:cs="Calibri"/>
        </w:rPr>
        <w:t>2 Ver</w:t>
      </w:r>
      <w:r>
        <w:rPr>
          <w:rFonts w:cs="Calibri"/>
        </w:rPr>
        <w:t>ä</w:t>
      </w:r>
      <w:r>
        <w:rPr>
          <w:rFonts w:cs="Calibri"/>
        </w:rPr>
        <w:t>nderungsmanagement - Systemische Ver</w:t>
      </w:r>
      <w:r>
        <w:rPr>
          <w:rFonts w:cs="Calibri"/>
        </w:rPr>
        <w:t>ä</w:t>
      </w:r>
      <w:r>
        <w:rPr>
          <w:rFonts w:cs="Calibri"/>
        </w:rPr>
        <w:t>nderungsprozesse erfolgreich gestalten</w:t>
      </w:r>
    </w:p>
    <w:p w14:paraId="51ABE750" w14:textId="77777777" w:rsidR="00406083" w:rsidRDefault="00406083">
      <w:pPr>
        <w:pStyle w:val="RVliste3u75nl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Grundlagen von Changemanagement kennenlernen</w:t>
      </w:r>
    </w:p>
    <w:p w14:paraId="4AD5DB4D" w14:textId="77777777" w:rsidR="00406083" w:rsidRDefault="00406083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Verfahren der systemischen Organisationsentwicklung kennenlernen</w:t>
      </w:r>
    </w:p>
    <w:p w14:paraId="094B00C1" w14:textId="77777777" w:rsidR="00406083" w:rsidRDefault="00406083">
      <w:pPr>
        <w:pStyle w:val="RVliste3u75nl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komplexe und innovative Prozesse steuern lernen</w:t>
      </w:r>
    </w:p>
    <w:p w14:paraId="1D688F2F" w14:textId="77777777" w:rsidR="00406083" w:rsidRDefault="00406083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Mit konkreten Transformationsprozessen umgehen: Neugr</w:t>
      </w:r>
      <w:r>
        <w:t>ü</w:t>
      </w:r>
      <w:r>
        <w:t>ndung und Auslaufprozesse von Schulen, Fusion von Schulen, Inklusion.</w:t>
      </w:r>
    </w:p>
    <w:p w14:paraId="4F49B1D9" w14:textId="77777777" w:rsidR="00406083" w:rsidRDefault="00406083">
      <w:pPr>
        <w:pStyle w:val="RVueberschrift285fz"/>
        <w:keepNext/>
        <w:keepLines/>
      </w:pPr>
      <w:r>
        <w:rPr>
          <w:rFonts w:cs="Calibri"/>
        </w:rPr>
        <w:t xml:space="preserve">3 Aufbau einer schulischen Binnenarchitektur </w:t>
      </w:r>
      <w:r>
        <w:rPr>
          <w:rFonts w:cs="Calibri"/>
        </w:rPr>
        <w:br/>
        <w:t>zur systemischen Verankerung von Unterrichtsentwicklung</w:t>
      </w:r>
    </w:p>
    <w:p w14:paraId="5938BF60" w14:textId="77777777" w:rsidR="00406083" w:rsidRDefault="00406083">
      <w:pPr>
        <w:pStyle w:val="RVliste3u75nl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Projekte zur Unterrichtsentwicklung implementieren</w:t>
      </w:r>
    </w:p>
    <w:p w14:paraId="7112B524" w14:textId="77777777" w:rsidR="00406083" w:rsidRDefault="00406083">
      <w:pPr>
        <w:pStyle w:val="RVliste3u75nl"/>
      </w:pPr>
      <w:r>
        <w:t>-</w:t>
      </w:r>
      <w:r>
        <w:tab/>
      </w:r>
      <w:r>
        <w:rPr>
          <w:rFonts w:cs="Calibri"/>
        </w:rPr>
        <w:t>Fachkonferenzarbeit professionalisieren</w:t>
      </w:r>
    </w:p>
    <w:p w14:paraId="75BC1C2A" w14:textId="77777777" w:rsidR="00406083" w:rsidRDefault="00406083">
      <w:pPr>
        <w:pStyle w:val="RVliste3u75nb"/>
      </w:pPr>
      <w:r>
        <w:t>-</w:t>
      </w:r>
      <w:r>
        <w:tab/>
      </w:r>
      <w:r>
        <w:rPr>
          <w:rFonts w:cs="Arial"/>
        </w:rPr>
        <w:t>Unterricht kooperativ entwickeln - Formen kollegialer Hospitation und Feedbackkultur verankern.</w:t>
      </w:r>
    </w:p>
    <w:p w14:paraId="4C915B49" w14:textId="77777777" w:rsidR="00406083" w:rsidRDefault="00406083">
      <w:pPr>
        <w:pStyle w:val="RVueberschrift285fz"/>
        <w:keepNext/>
        <w:keepLines/>
        <w:rPr>
          <w:rFonts w:cs="Calibri"/>
        </w:rPr>
      </w:pPr>
      <w:r>
        <w:t>4 Netzwerkberatung - schul</w:t>
      </w:r>
      <w:r>
        <w:t>ü</w:t>
      </w:r>
      <w:r>
        <w:t>bergreifende Netzwerke zur Schul- und Unterrichtsentwicklung aufbauen und begleiten</w:t>
      </w:r>
    </w:p>
    <w:p w14:paraId="7F67EC3D" w14:textId="77777777" w:rsidR="00406083" w:rsidRDefault="00406083">
      <w:pPr>
        <w:pStyle w:val="RVliste3u75nl"/>
      </w:pPr>
      <w:r>
        <w:t>-</w:t>
      </w:r>
      <w:r>
        <w:tab/>
      </w:r>
      <w:r>
        <w:rPr>
          <w:rFonts w:cs="Calibri"/>
        </w:rPr>
        <w:t>schul</w:t>
      </w:r>
      <w:r>
        <w:rPr>
          <w:rFonts w:cs="Calibri"/>
        </w:rPr>
        <w:t>ü</w:t>
      </w:r>
      <w:r>
        <w:rPr>
          <w:rFonts w:cs="Calibri"/>
        </w:rPr>
        <w:t>bergreifende Netzwerke in der Region initiieren</w:t>
      </w:r>
    </w:p>
    <w:p w14:paraId="50DECF81" w14:textId="77777777" w:rsidR="00406083" w:rsidRDefault="00406083">
      <w:pPr>
        <w:pStyle w:val="RVliste3u75nb"/>
      </w:pPr>
      <w:r>
        <w:t>-</w:t>
      </w:r>
      <w:r>
        <w:tab/>
      </w:r>
      <w:r>
        <w:rPr>
          <w:rFonts w:cs="Arial"/>
        </w:rPr>
        <w:t>entstandene Netzwerke bei ihrer Arbeit begleiten (z.B. Zukunftsschulen NRW)</w:t>
      </w:r>
    </w:p>
    <w:p w14:paraId="0ECB5EB5" w14:textId="77777777" w:rsidR="00406083" w:rsidRDefault="00406083">
      <w:pPr>
        <w:pStyle w:val="RVliste3u75nl"/>
      </w:pPr>
      <w:r>
        <w:t>-</w:t>
      </w:r>
      <w:r>
        <w:tab/>
      </w:r>
      <w:r>
        <w:rPr>
          <w:rFonts w:cs="Calibri"/>
        </w:rPr>
        <w:t>die Arbeit in Netzwerken professionalisieren</w:t>
      </w:r>
    </w:p>
    <w:p w14:paraId="2AFD0D3D" w14:textId="77777777" w:rsidR="00406083" w:rsidRDefault="00406083">
      <w:pPr>
        <w:pStyle w:val="RVliste3u75nb"/>
      </w:pPr>
      <w:r>
        <w:t>-</w:t>
      </w:r>
      <w:r>
        <w:tab/>
      </w:r>
      <w:r>
        <w:rPr>
          <w:rFonts w:cs="Arial"/>
        </w:rPr>
        <w:t>den zielorientierten Entwicklungsprozess der Netzwerkarbeit beraten und begleiten</w:t>
      </w:r>
    </w:p>
    <w:p w14:paraId="48F19B93" w14:textId="77777777" w:rsidR="00406083" w:rsidRDefault="00406083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die systemische Verankerung der Ergebnisse in den Einzelschulen unterst</w:t>
      </w:r>
      <w:r>
        <w:t>ü</w:t>
      </w:r>
      <w:r>
        <w:t>tzen.</w:t>
      </w:r>
    </w:p>
    <w:p w14:paraId="77EA3C01" w14:textId="77777777" w:rsidR="00406083" w:rsidRDefault="00406083">
      <w:pPr>
        <w:pStyle w:val="RVueberschrift285fz"/>
        <w:keepNext/>
        <w:keepLines/>
      </w:pPr>
      <w:r>
        <w:rPr>
          <w:rFonts w:cs="Calibri"/>
        </w:rPr>
        <w:t>5 Teambildung, Teamentwicklung - Das Kollegium beteiligen, Zusammenarbeit f</w:t>
      </w:r>
      <w:r>
        <w:rPr>
          <w:rFonts w:cs="Calibri"/>
        </w:rPr>
        <w:t>ö</w:t>
      </w:r>
      <w:r>
        <w:rPr>
          <w:rFonts w:cs="Calibri"/>
        </w:rPr>
        <w:t>rdern</w:t>
      </w:r>
    </w:p>
    <w:p w14:paraId="700CD7E3" w14:textId="77777777" w:rsidR="00406083" w:rsidRDefault="00406083">
      <w:pPr>
        <w:pStyle w:val="RVliste3u75nl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Beteiligungs- und Teamstrukturen in der Schulorganisation verankern</w:t>
      </w:r>
    </w:p>
    <w:p w14:paraId="37C32477" w14:textId="77777777" w:rsidR="00406083" w:rsidRDefault="00406083">
      <w:pPr>
        <w:pStyle w:val="RVliste3u75nl"/>
      </w:pPr>
      <w:r>
        <w:t>-</w:t>
      </w:r>
      <w:r>
        <w:tab/>
      </w:r>
      <w:r>
        <w:rPr>
          <w:rFonts w:cs="Calibri"/>
        </w:rPr>
        <w:t>Teambildung, Teamentwicklung, Teamleitung</w:t>
      </w:r>
    </w:p>
    <w:p w14:paraId="545AAC97" w14:textId="77777777" w:rsidR="00406083" w:rsidRDefault="00406083">
      <w:pPr>
        <w:pStyle w:val="RVliste3u75nl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Kommunikation, Umgang mit Konflikten, Konstruktive Intervention</w:t>
      </w:r>
    </w:p>
    <w:p w14:paraId="359C0202" w14:textId="77777777" w:rsidR="00406083" w:rsidRDefault="00406083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Professionelle Lerngemeinschaften etablieren - Die Schule als lernende Organisation verstehen</w:t>
      </w:r>
    </w:p>
    <w:p w14:paraId="3D05E8CF" w14:textId="77777777" w:rsidR="00406083" w:rsidRDefault="00406083">
      <w:pPr>
        <w:pStyle w:val="RVliste3u75nl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Gesundheitsmanagement.</w:t>
      </w:r>
    </w:p>
    <w:p w14:paraId="26C11E20" w14:textId="77777777" w:rsidR="00406083" w:rsidRDefault="00406083">
      <w:pPr>
        <w:pStyle w:val="RVueberschrift285fz"/>
        <w:keepNext/>
        <w:keepLines/>
        <w:rPr>
          <w:rFonts w:cs="Calibri"/>
        </w:rPr>
      </w:pPr>
      <w:r>
        <w:t>6 Professionalisierung schulischer Gremien - Rollen in der Schul- und Unterrichtsentwicklung kompetent wahrnehmen</w:t>
      </w:r>
    </w:p>
    <w:p w14:paraId="59AD6BB1" w14:textId="77777777" w:rsidR="00406083" w:rsidRDefault="00406083">
      <w:pPr>
        <w:pStyle w:val="RVliste3u75nl"/>
      </w:pPr>
      <w:r>
        <w:t>-</w:t>
      </w:r>
      <w:r>
        <w:tab/>
      </w:r>
      <w:r>
        <w:rPr>
          <w:rFonts w:cs="Calibri"/>
        </w:rPr>
        <w:t>Steuergruppe</w:t>
      </w:r>
    </w:p>
    <w:p w14:paraId="6D095CBC" w14:textId="77777777" w:rsidR="00406083" w:rsidRDefault="00406083">
      <w:pPr>
        <w:pStyle w:val="RVliste3u75nl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Projektgruppe</w:t>
      </w:r>
    </w:p>
    <w:p w14:paraId="1B3786AB" w14:textId="77777777" w:rsidR="00406083" w:rsidRDefault="00406083">
      <w:pPr>
        <w:pStyle w:val="RVliste3u75nl"/>
      </w:pPr>
      <w:r>
        <w:t>-</w:t>
      </w:r>
      <w:r>
        <w:tab/>
      </w:r>
      <w:r>
        <w:rPr>
          <w:rFonts w:cs="Calibri"/>
        </w:rPr>
        <w:t>Fachkonferenz.</w:t>
      </w:r>
      <w:r>
        <w:rPr>
          <w:rFonts w:cs="Calibri"/>
        </w:rPr>
        <w:t>“</w:t>
      </w:r>
    </w:p>
    <w:p w14:paraId="3C361707" w14:textId="77777777" w:rsidR="00406083" w:rsidRDefault="00406083">
      <w:pPr>
        <w:pStyle w:val="RVfliesstext175nb"/>
        <w:rPr>
          <w:rFonts w:cs="Arial"/>
        </w:rPr>
      </w:pPr>
      <w:r>
        <w:t>Der Runderlass tritt sofort in Kraft.</w:t>
      </w:r>
    </w:p>
    <w:p w14:paraId="021E3745" w14:textId="77777777" w:rsidR="00406083" w:rsidRDefault="00406083">
      <w:pPr>
        <w:pStyle w:val="RVfliesstext175nb"/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3E437" w14:textId="77777777" w:rsidR="00406083" w:rsidRDefault="00406083">
      <w:r>
        <w:separator/>
      </w:r>
    </w:p>
  </w:endnote>
  <w:endnote w:type="continuationSeparator" w:id="0">
    <w:p w14:paraId="5CF6807F" w14:textId="77777777" w:rsidR="00406083" w:rsidRDefault="00406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0E1CD" w14:textId="77777777" w:rsidR="00406083" w:rsidRDefault="00406083">
    <w:pPr>
      <w:pStyle w:val="Fudfzeile"/>
      <w:widowControl/>
    </w:pPr>
    <w:r>
      <w:rPr>
        <w:rFonts w:cs="Calibri"/>
      </w:rPr>
      <w:t>©</w:t>
    </w:r>
    <w:r>
      <w:rPr>
        <w:rFonts w:cs="Calibri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76595" w14:textId="77777777" w:rsidR="00406083" w:rsidRDefault="00406083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19370331" w14:textId="77777777" w:rsidR="00406083" w:rsidRDefault="00406083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9463A"/>
    <w:rsid w:val="0039463A"/>
    <w:rsid w:val="00406083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B0C3C6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hAnsi="Arial" w:cs="Arial"/>
      <w:b/>
      <w:color w:val="000000"/>
      <w:sz w:val="24"/>
      <w:szCs w:val="24"/>
    </w:rPr>
  </w:style>
  <w:style w:type="paragraph" w:customStyle="1" w:styleId="RVAnlagenfliesstext1120fz">
    <w:name w:val="RV_Anlagen_fliesstext_1_120_f_z"/>
    <w:uiPriority w:val="99"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hAnsi="Arial" w:cs="Calibri"/>
      <w:b/>
      <w:color w:val="000000"/>
      <w:sz w:val="24"/>
      <w:szCs w:val="24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hAnsi="Arial" w:cs="Calibri"/>
      <w:color w:val="000000"/>
      <w:sz w:val="24"/>
      <w:szCs w:val="24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hAnsi="Arial" w:cs="Calibri"/>
      <w:color w:val="000000"/>
      <w:sz w:val="24"/>
      <w:szCs w:val="24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hAnsi="Wingdings" w:cs="Wingdings"/>
      <w:color w:val="000000"/>
      <w:sz w:val="24"/>
      <w:szCs w:val="24"/>
    </w:rPr>
  </w:style>
  <w:style w:type="paragraph" w:customStyle="1" w:styleId="RVAnlagenueberschrift1140fz">
    <w:name w:val="RV_Anlagen_ueberschrift_1_140_f_z"/>
    <w:uiPriority w:val="99"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hAnsi="Arial" w:cs="Calibri"/>
      <w:b/>
      <w:color w:val="000000"/>
      <w:sz w:val="28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hAnsi="Arial" w:cs="Calibri"/>
      <w:i/>
      <w:color w:val="000000"/>
      <w:sz w:val="24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hAnsi="Wingdings" w:cs="Calibri"/>
      <w:color w:val="000000"/>
      <w:sz w:val="22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Calibri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 w:cs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814</Words>
  <Characters>5135</Characters>
  <Application>Microsoft Office Word</Application>
  <DocSecurity>0</DocSecurity>
  <Lines>42</Lines>
  <Paragraphs>11</Paragraphs>
  <ScaleCrop>false</ScaleCrop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2024-09-10T02:42:00Z</dcterms:created>
  <dcterms:modified xsi:type="dcterms:W3CDTF">2024-09-10T02:42:00Z</dcterms:modified>
</cp:coreProperties>
</file>