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1745" w14:textId="77777777" w:rsidR="00AE30BD" w:rsidRDefault="00AE30BD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699BA0C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509E7281" w14:textId="77777777" w:rsidR="00AE30BD" w:rsidRDefault="00AE30BD">
            <w:pPr>
              <w:pStyle w:val="RVfliesstext175nb"/>
            </w:pPr>
            <w:r>
              <w:rPr>
                <w:rFonts w:cs="Arial"/>
              </w:rPr>
              <w:t>Die neuen Verwaltungsvorschriften erl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utern den Verordnungstext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den Hauptschulbildungsgang an einer Realschule.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bergangsregelungen zu den Kernlehrpl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 xml:space="preserve">nen ergehen in einem gesonderten Runderlass. Die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brigen 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nderungen sind redaktionelle Anpassungen der Zeugnisformulare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Gesamtschule und die Sekundarschule.</w:t>
            </w:r>
          </w:p>
        </w:tc>
      </w:tr>
    </w:tbl>
    <w:p w14:paraId="12747519" w14:textId="77777777" w:rsidR="00AE30BD" w:rsidRDefault="00AE30BD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13-21 Nr. 1.2</w:t>
      </w:r>
    </w:p>
    <w:p w14:paraId="18BD0265" w14:textId="77777777" w:rsidR="00AE30BD" w:rsidRDefault="00AE30BD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t>ü</w:t>
      </w:r>
      <w:r>
        <w:t xml:space="preserve">ber die Ausbildung </w:t>
      </w:r>
      <w:r>
        <w:br/>
        <w:t>und die Abschlusspr</w:t>
      </w:r>
      <w:r>
        <w:t>ü</w:t>
      </w:r>
      <w:r>
        <w:t xml:space="preserve">fungen in der Sekundarstufe I </w:t>
      </w:r>
      <w:r>
        <w:br/>
        <w:t xml:space="preserve">(VVzAPO-S I); </w:t>
      </w:r>
      <w:r>
        <w:t>Ä</w:t>
      </w:r>
      <w:r>
        <w:t>nderung</w:t>
      </w:r>
    </w:p>
    <w:p w14:paraId="2611AD04" w14:textId="77777777" w:rsidR="00AE30BD" w:rsidRDefault="00AE30B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23.06.2016 - 226-2.02.11.03-133250</w:t>
      </w:r>
    </w:p>
    <w:p w14:paraId="0F274181" w14:textId="77777777" w:rsidR="00AE30BD" w:rsidRDefault="00AE30BD">
      <w:pPr>
        <w:pStyle w:val="RVfliesstext175fl"/>
        <w:rPr>
          <w:rFonts w:cs="Arial"/>
        </w:rPr>
      </w:pPr>
      <w:r>
        <w:t>Bezug:</w:t>
      </w:r>
    </w:p>
    <w:p w14:paraId="7008BD8A" w14:textId="77777777" w:rsidR="00AE30BD" w:rsidRDefault="00AE30BD">
      <w:pPr>
        <w:pStyle w:val="RVfliesstext175nb"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11.06.2013 (BASS 13-21 Nr. 1.2)</w:t>
      </w:r>
    </w:p>
    <w:p w14:paraId="1A5C4282" w14:textId="77777777" w:rsidR="00AE30BD" w:rsidRDefault="00AE30BD">
      <w:pPr>
        <w:pStyle w:val="RVfliesstext175nb"/>
        <w:rPr>
          <w:rFonts w:cs="Arial"/>
        </w:rPr>
      </w:pPr>
      <w:r>
        <w:t>Der Bezugserlass wird wie folgt ge</w:t>
      </w:r>
      <w:r>
        <w:t>ä</w:t>
      </w:r>
      <w:r>
        <w:t>ndert:</w:t>
      </w:r>
    </w:p>
    <w:p w14:paraId="607033F1" w14:textId="77777777" w:rsidR="00AE30BD" w:rsidRDefault="00AE30BD">
      <w:pPr>
        <w:pStyle w:val="RVliste3n75nbanfang"/>
      </w:pPr>
      <w:r>
        <w:t>1.</w:t>
      </w:r>
      <w:r>
        <w:tab/>
      </w:r>
      <w:r>
        <w:rPr>
          <w:rFonts w:cs="Arial"/>
        </w:rPr>
        <w:t xml:space="preserve">Nach </w:t>
      </w:r>
      <w:r>
        <w:rPr>
          <w:rFonts w:cs="Arial"/>
        </w:rPr>
        <w:t>§</w:t>
      </w:r>
      <w:r>
        <w:rPr>
          <w:rFonts w:cs="Arial"/>
        </w:rPr>
        <w:t xml:space="preserve"> 47 werden folgende Verwaltungsvorschriften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4B857FAA" w14:textId="77777777" w:rsidR="00AE30BD" w:rsidRDefault="00AE30BD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VV zu </w:t>
      </w:r>
      <w:r>
        <w:rPr>
          <w:rFonts w:cs="Arial"/>
        </w:rPr>
        <w:t>§</w:t>
      </w:r>
      <w:r>
        <w:rPr>
          <w:rFonts w:cs="Arial"/>
        </w:rPr>
        <w:t xml:space="preserve"> 47</w:t>
      </w:r>
    </w:p>
    <w:p w14:paraId="5B7F71CD" w14:textId="77777777" w:rsidR="00AE30BD" w:rsidRDefault="00AE30BD">
      <w:pPr>
        <w:pStyle w:val="RVueberschrift285nz"/>
        <w:keepNext/>
        <w:keepLines/>
        <w:rPr>
          <w:rFonts w:cs="Calibri"/>
        </w:rPr>
      </w:pPr>
      <w:r>
        <w:t>47.1 zu Absatz 1</w:t>
      </w:r>
    </w:p>
    <w:p w14:paraId="433DA588" w14:textId="77777777" w:rsidR="00AE30BD" w:rsidRDefault="00AE30BD">
      <w:pPr>
        <w:pStyle w:val="RVfliesstext175nb"/>
      </w:pPr>
      <w:r>
        <w:rPr>
          <w:rFonts w:cs="Arial"/>
        </w:rPr>
        <w:t>Im Rahmen freier Kapazit</w:t>
      </w:r>
      <w:r>
        <w:rPr>
          <w:rFonts w:cs="Arial"/>
        </w:rPr>
        <w:t>ä</w:t>
      </w:r>
      <w:r>
        <w:rPr>
          <w:rFonts w:cs="Arial"/>
        </w:rPr>
        <w:t>ten k</w:t>
      </w:r>
      <w:r>
        <w:rPr>
          <w:rFonts w:cs="Arial"/>
        </w:rPr>
        <w:t>ö</w:t>
      </w:r>
      <w:r>
        <w:rPr>
          <w:rFonts w:cs="Arial"/>
        </w:rPr>
        <w:t>nnen auch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anderer Schulen die Schullaufbahn im Bildungsgang der Hauptschule fortsetzen.</w:t>
      </w:r>
    </w:p>
    <w:p w14:paraId="2F042700" w14:textId="77777777" w:rsidR="00AE30BD" w:rsidRDefault="00AE30BD">
      <w:pPr>
        <w:pStyle w:val="RVueberschrift285nz"/>
        <w:keepNext/>
        <w:keepLines/>
        <w:rPr>
          <w:rFonts w:cs="Calibri"/>
        </w:rPr>
      </w:pPr>
      <w:r>
        <w:t>47.2 zu Absatz 2</w:t>
      </w:r>
    </w:p>
    <w:p w14:paraId="4D59079C" w14:textId="77777777" w:rsidR="00AE30BD" w:rsidRDefault="00AE30BD">
      <w:pPr>
        <w:pStyle w:val="RVfliesstext175nb"/>
      </w:pPr>
      <w:r>
        <w:rPr>
          <w:rFonts w:cs="Arial"/>
        </w:rPr>
        <w:t>47.2.1 F</w:t>
      </w:r>
      <w:r>
        <w:rPr>
          <w:rFonts w:cs="Arial"/>
        </w:rPr>
        <w:t>ü</w:t>
      </w:r>
      <w:r>
        <w:rPr>
          <w:rFonts w:cs="Arial"/>
        </w:rPr>
        <w:t>r die Nutzung der Erg</w:t>
      </w:r>
      <w:r>
        <w:rPr>
          <w:rFonts w:cs="Arial"/>
        </w:rPr>
        <w:t>ä</w:t>
      </w:r>
      <w:r>
        <w:rPr>
          <w:rFonts w:cs="Arial"/>
        </w:rPr>
        <w:t xml:space="preserve">nzungsstunden gilt </w:t>
      </w:r>
      <w:r>
        <w:rPr>
          <w:rFonts w:cs="Arial"/>
        </w:rPr>
        <w:t>§</w:t>
      </w:r>
      <w:r>
        <w:rPr>
          <w:rFonts w:cs="Arial"/>
        </w:rPr>
        <w:t xml:space="preserve"> 14 Absatz 5.</w:t>
      </w:r>
    </w:p>
    <w:p w14:paraId="6B85D8FD" w14:textId="77777777" w:rsidR="00AE30BD" w:rsidRDefault="00AE30BD">
      <w:pPr>
        <w:pStyle w:val="RVfliesstext175nb"/>
      </w:pPr>
      <w:r>
        <w:rPr>
          <w:rFonts w:cs="Arial"/>
        </w:rPr>
        <w:t>47.2.2 Stundentafel f</w:t>
      </w:r>
      <w:r>
        <w:rPr>
          <w:rFonts w:cs="Arial"/>
        </w:rPr>
        <w:t>ü</w:t>
      </w:r>
      <w:r>
        <w:rPr>
          <w:rFonts w:cs="Arial"/>
        </w:rPr>
        <w:t>r den Hauptschulbildungsgang an Realschulen</w:t>
      </w:r>
    </w:p>
    <w:p w14:paraId="08E262A4" w14:textId="77777777" w:rsidR="00AE30BD" w:rsidRDefault="00AE30BD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1787"/>
      </w:tblGrid>
      <w:tr w:rsidR="00000000" w14:paraId="0CC9D385" w14:textId="77777777">
        <w:trPr>
          <w:tblHeader/>
        </w:trPr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EEE373" w14:textId="77777777" w:rsidR="00AE30BD" w:rsidRDefault="00AE30BD">
            <w:pPr>
              <w:pStyle w:val="RVtabelle75fz"/>
              <w:widowControl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cher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8A39F" w14:textId="77777777" w:rsidR="00AE30BD" w:rsidRDefault="00AE30BD">
            <w:pPr>
              <w:pStyle w:val="RVueberschrift285fz"/>
              <w:keepNext/>
              <w:keepLines/>
              <w:rPr>
                <w:rFonts w:cs="Arial"/>
              </w:rPr>
            </w:pPr>
            <w:r>
              <w:t xml:space="preserve">Unterrichtsstunden </w:t>
            </w:r>
            <w:r>
              <w:br/>
              <w:t>Klassen 7-10</w:t>
            </w:r>
          </w:p>
        </w:tc>
      </w:tr>
      <w:tr w:rsidR="00000000" w14:paraId="03AD9462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4571B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Deutsch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4E6CB7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52CE5811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22164B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Deutsch - 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BE18E7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1</w:t>
            </w:r>
          </w:p>
        </w:tc>
      </w:tr>
      <w:tr w:rsidR="00000000" w14:paraId="56B616A4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571A5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Gesellschaftslehre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  <w:t>Geschichte</w:t>
            </w:r>
          </w:p>
          <w:p w14:paraId="3EB5AF3E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Erdkunde</w:t>
            </w:r>
          </w:p>
          <w:p w14:paraId="5B10B15E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Politik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7146CE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15</w:t>
            </w:r>
          </w:p>
        </w:tc>
      </w:tr>
      <w:tr w:rsidR="00000000" w14:paraId="10BF1997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8F6833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9D1F1A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7344874C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57420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Naturwissenschaften</w:t>
            </w:r>
            <w:r>
              <w:rPr>
                <w:rStyle w:val="FNhochgestellt"/>
              </w:rPr>
              <w:t>1</w:t>
            </w:r>
          </w:p>
          <w:p w14:paraId="1984A0EE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t>Biologie</w:t>
            </w:r>
          </w:p>
          <w:p w14:paraId="101E91DF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t>Chemie</w:t>
            </w:r>
          </w:p>
          <w:p w14:paraId="7FCECF75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t>Physik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BF9A53A" w14:textId="77777777" w:rsidR="00AE30BD" w:rsidRDefault="00AE30BD">
            <w:pPr>
              <w:pStyle w:val="RVtabelle75nzm"/>
              <w:widowControl/>
              <w:rPr>
                <w:rFonts w:cs="Calibri"/>
              </w:rPr>
            </w:pPr>
            <w:r>
              <w:t>16</w:t>
            </w:r>
          </w:p>
        </w:tc>
      </w:tr>
      <w:tr w:rsidR="00000000" w14:paraId="19B20DB7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757A9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t>Englisch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BABB58" w14:textId="77777777" w:rsidR="00AE30BD" w:rsidRDefault="00AE30BD">
            <w:pPr>
              <w:pStyle w:val="RVtabelle75nzm"/>
              <w:widowControl/>
              <w:rPr>
                <w:rFonts w:cs="Calibri"/>
              </w:rPr>
            </w:pPr>
            <w:r>
              <w:t>14</w:t>
            </w:r>
          </w:p>
        </w:tc>
      </w:tr>
      <w:tr w:rsidR="00000000" w14:paraId="3DE6ECEF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C4EACA" w14:textId="77777777" w:rsidR="00AE30BD" w:rsidRDefault="00AE30BD">
            <w:pPr>
              <w:pStyle w:val="RVfliesstext175nb"/>
            </w:pPr>
            <w:r>
              <w:rPr>
                <w:rFonts w:cs="Arial"/>
              </w:rPr>
              <w:t>Kunst, Musik,</w:t>
            </w:r>
          </w:p>
          <w:p w14:paraId="437021E5" w14:textId="77777777" w:rsidR="00AE30BD" w:rsidRDefault="00AE30BD">
            <w:pPr>
              <w:pStyle w:val="RVfliesstext175nl"/>
            </w:pPr>
            <w:r>
              <w:t>Textilgestaltung</w:t>
            </w:r>
            <w:r>
              <w:rPr>
                <w:rStyle w:val="FNhochgestellt"/>
                <w:rFonts w:cs="Calibri"/>
              </w:rPr>
              <w:t>1</w:t>
            </w:r>
          </w:p>
          <w:p w14:paraId="3FD13837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Kunst</w:t>
            </w:r>
          </w:p>
          <w:p w14:paraId="586670A4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Musik</w:t>
            </w:r>
          </w:p>
          <w:p w14:paraId="6CFC3B89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Textil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84EF8E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8</w:t>
            </w:r>
          </w:p>
        </w:tc>
      </w:tr>
      <w:tr w:rsidR="00000000" w14:paraId="42ACD574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C5833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Religionslehre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709263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8</w:t>
            </w:r>
          </w:p>
        </w:tc>
      </w:tr>
      <w:tr w:rsidR="00000000" w14:paraId="227F6799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8595C9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Sport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D02745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10-12</w:t>
            </w:r>
          </w:p>
        </w:tc>
      </w:tr>
      <w:tr w:rsidR="00000000" w14:paraId="251C9A00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610C8" w14:textId="77777777" w:rsidR="00AE30BD" w:rsidRDefault="00AE30BD">
            <w:pPr>
              <w:pStyle w:val="RVfliesstext175nb"/>
            </w:pPr>
            <w:r>
              <w:t xml:space="preserve">Differenzierung/Wahlpflichtunterricht </w:t>
            </w:r>
            <w:r>
              <w:br/>
              <w:t>Arbeitslehre</w:t>
            </w:r>
            <w:r>
              <w:rPr>
                <w:rStyle w:val="FNhochgestellt"/>
                <w:rFonts w:cs="Arial"/>
              </w:rPr>
              <w:t>1</w:t>
            </w:r>
          </w:p>
          <w:p w14:paraId="3FAE84F9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t>Technik</w:t>
            </w:r>
          </w:p>
          <w:p w14:paraId="253026C4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t>Wirtschaft</w:t>
            </w:r>
          </w:p>
          <w:p w14:paraId="434BECAB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t>Hauswirtschaft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C33031" w14:textId="77777777" w:rsidR="00AE30BD" w:rsidRDefault="00AE30BD">
            <w:pPr>
              <w:pStyle w:val="RVtabelle75nzm"/>
              <w:widowControl/>
              <w:rPr>
                <w:rFonts w:cs="Calibri"/>
              </w:rPr>
            </w:pPr>
            <w:r>
              <w:t>12</w:t>
            </w:r>
          </w:p>
        </w:tc>
      </w:tr>
      <w:tr w:rsidR="00000000" w14:paraId="07C88F20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4CAF71" w14:textId="77777777" w:rsidR="00AE30BD" w:rsidRDefault="00AE30BD">
            <w:pPr>
              <w:pStyle w:val="RVfliesstext175nl"/>
              <w:rPr>
                <w:rFonts w:cs="Calibri"/>
              </w:rPr>
            </w:pPr>
            <w:r>
              <w:t>Kernstunden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F359CA" w14:textId="77777777" w:rsidR="00AE30BD" w:rsidRDefault="00AE30BD">
            <w:pPr>
              <w:pStyle w:val="RVtabelle75nzm"/>
              <w:widowControl/>
              <w:rPr>
                <w:rFonts w:cs="Calibri"/>
              </w:rPr>
            </w:pPr>
            <w:r>
              <w:t>116-118</w:t>
            </w:r>
          </w:p>
        </w:tc>
      </w:tr>
      <w:tr w:rsidR="00000000" w14:paraId="0B70554B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7721A" w14:textId="77777777" w:rsidR="00AE30BD" w:rsidRDefault="00AE30BD">
            <w:pPr>
              <w:pStyle w:val="RVfliesstext175nl"/>
            </w:pPr>
            <w:r>
              <w:t>Erg</w:t>
            </w:r>
            <w:r>
              <w:t>ä</w:t>
            </w:r>
            <w:r>
              <w:t>nzungsstunden f</w:t>
            </w:r>
            <w:r>
              <w:t>ü</w:t>
            </w:r>
            <w:r>
              <w:t>r F</w:t>
            </w:r>
            <w:r>
              <w:t>ö</w:t>
            </w:r>
            <w:r>
              <w:t xml:space="preserve">rderunterricht </w:t>
            </w:r>
            <w:r>
              <w:br/>
              <w:t xml:space="preserve">in </w:t>
            </w:r>
            <w:r>
              <w:rPr>
                <w:rFonts w:cs="Calibri"/>
              </w:rPr>
              <w:t>allen 6 Jahrgangsstufen</w:t>
            </w:r>
            <w:r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51211D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13 von insgesamt 14</w:t>
            </w:r>
          </w:p>
        </w:tc>
      </w:tr>
      <w:tr w:rsidR="00000000" w14:paraId="5775C6FA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84C61B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Wochenstundenrahmen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B0EBEC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Klasse 7: 30-33</w:t>
            </w:r>
          </w:p>
          <w:p w14:paraId="4557AF26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Klasse 8: 30-33</w:t>
            </w:r>
          </w:p>
          <w:p w14:paraId="4FE72CA8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Klasse 9: 31-34</w:t>
            </w:r>
          </w:p>
          <w:p w14:paraId="72A8F96D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Klasse 10: 31-34</w:t>
            </w:r>
          </w:p>
        </w:tc>
      </w:tr>
      <w:tr w:rsidR="00000000" w14:paraId="2CAD5F44" w14:textId="77777777">
        <w:tc>
          <w:tcPr>
            <w:tcW w:w="312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F52BD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1756" w:type="dxa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F60868" w14:textId="77777777" w:rsidR="00AE30BD" w:rsidRDefault="00AE30BD">
            <w:pPr>
              <w:pStyle w:val="RVtabelle75nzm"/>
              <w:widowControl/>
            </w:pPr>
            <w:r>
              <w:rPr>
                <w:rFonts w:cs="Calibri"/>
              </w:rPr>
              <w:t>124-126 in Klassen 7-10</w:t>
            </w:r>
          </w:p>
        </w:tc>
      </w:tr>
      <w:tr w:rsidR="00000000" w14:paraId="4E4DEC90" w14:textId="77777777">
        <w:tc>
          <w:tcPr>
            <w:tcW w:w="4879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C733F" w14:textId="77777777" w:rsidR="00AE30BD" w:rsidRDefault="00AE30BD">
            <w:pPr>
              <w:pStyle w:val="RVfliesstext1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 w14:paraId="278FA025" w14:textId="77777777">
        <w:trPr>
          <w:cantSplit/>
        </w:trPr>
        <w:tc>
          <w:tcPr>
            <w:tcW w:w="4879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E791E64" w14:textId="77777777" w:rsidR="00AE30BD" w:rsidRDefault="00AE30BD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Stundentafel Realschule (Hauptschulbildungsgang)</w:t>
            </w:r>
          </w:p>
        </w:tc>
      </w:tr>
    </w:tbl>
    <w:p w14:paraId="4BFF7FA9" w14:textId="77777777" w:rsidR="00AE30BD" w:rsidRDefault="00AE30BD">
      <w:pPr>
        <w:pStyle w:val="RVueberschrift285nz"/>
        <w:keepNext/>
        <w:keepLines/>
      </w:pPr>
      <w:r>
        <w:rPr>
          <w:rFonts w:cs="Calibri"/>
        </w:rPr>
        <w:t>VV 47.3 zu Absatz 3</w:t>
      </w:r>
    </w:p>
    <w:p w14:paraId="23D15688" w14:textId="77777777" w:rsidR="00AE30BD" w:rsidRDefault="00AE30BD">
      <w:pPr>
        <w:pStyle w:val="RVfliesstext175nb"/>
        <w:rPr>
          <w:rFonts w:cs="Arial"/>
        </w:rPr>
      </w:pPr>
      <w:r>
        <w:t xml:space="preserve">Die Beratungspflicht nach </w:t>
      </w:r>
      <w:r>
        <w:t>§</w:t>
      </w:r>
      <w:r>
        <w:t xml:space="preserve"> 8 erstreckt sich auch auf die M</w:t>
      </w:r>
      <w:r>
        <w:t>ö</w:t>
      </w:r>
      <w:r>
        <w:t>glichkeit eines Bildungsgangswechsels.</w:t>
      </w:r>
    </w:p>
    <w:p w14:paraId="30F1549B" w14:textId="77777777" w:rsidR="00AE30BD" w:rsidRDefault="00AE30BD">
      <w:pPr>
        <w:pStyle w:val="RVueberschrift285nz"/>
        <w:keepNext/>
        <w:keepLines/>
      </w:pPr>
      <w:r>
        <w:rPr>
          <w:rFonts w:cs="Calibri"/>
        </w:rPr>
        <w:t>VV 47.4 zu Absatz 4</w:t>
      </w:r>
    </w:p>
    <w:p w14:paraId="354796CD" w14:textId="77777777" w:rsidR="00AE30BD" w:rsidRDefault="00AE30BD">
      <w:pPr>
        <w:pStyle w:val="RVfliesstext175nb"/>
        <w:rPr>
          <w:rFonts w:cs="Arial"/>
        </w:rPr>
      </w:pPr>
      <w:r>
        <w:t xml:space="preserve">In der Klasse 10 des Realschulbildungsgangs gilt </w:t>
      </w:r>
      <w:r>
        <w:t>§</w:t>
      </w:r>
      <w:r>
        <w:t xml:space="preserve"> 15 Absatz 4 mit der Ma</w:t>
      </w:r>
      <w:r>
        <w:t>ß</w:t>
      </w:r>
      <w:r>
        <w:t>gabe, dass Erg</w:t>
      </w:r>
      <w:r>
        <w:t>ä</w:t>
      </w:r>
      <w:r>
        <w:t>nzungsstunden vorrangig f</w:t>
      </w:r>
      <w:r>
        <w:t>ü</w:t>
      </w:r>
      <w:r>
        <w:t>r das Erreichen von Abschl</w:t>
      </w:r>
      <w:r>
        <w:t>ü</w:t>
      </w:r>
      <w:r>
        <w:t>ssen und Berechtigungen verwendet werden.</w:t>
      </w:r>
      <w:r>
        <w:t>“</w:t>
      </w:r>
    </w:p>
    <w:p w14:paraId="1670FDCF" w14:textId="77777777" w:rsidR="00AE30BD" w:rsidRDefault="00AE30BD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Zu Anlagen 19 bis 24 werden die Hinweise zum Zeugnis wie folgt ge</w:t>
      </w:r>
      <w:r>
        <w:t>ä</w:t>
      </w:r>
      <w:r>
        <w:t>ndert:</w:t>
      </w:r>
    </w:p>
    <w:p w14:paraId="07C59EAE" w14:textId="77777777" w:rsidR="00AE30BD" w:rsidRDefault="00AE30BD">
      <w:pPr>
        <w:pStyle w:val="RVfliesstext175nb"/>
      </w:pPr>
      <w:r>
        <w:rPr>
          <w:rFonts w:cs="Arial"/>
        </w:rPr>
        <w:t>Nach der Angabe 3. wird folgende Angabe 4. angef</w:t>
      </w:r>
      <w:r>
        <w:rPr>
          <w:rFonts w:cs="Arial"/>
        </w:rPr>
        <w:t>ü</w:t>
      </w:r>
      <w:r>
        <w:rPr>
          <w:rFonts w:cs="Arial"/>
        </w:rPr>
        <w:t>gt:</w:t>
      </w:r>
    </w:p>
    <w:p w14:paraId="436540B1" w14:textId="77777777" w:rsidR="00AE30BD" w:rsidRDefault="00AE30BD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4. Hauptschulbildungsgang an einer Realschule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4</w:t>
      </w:r>
    </w:p>
    <w:p w14:paraId="1E6FAB15" w14:textId="77777777" w:rsidR="00AE30BD" w:rsidRDefault="00AE30BD">
      <w:pPr>
        <w:pStyle w:val="RVfliesstext175nb"/>
      </w:pPr>
      <w:r>
        <w:rPr>
          <w:rFonts w:cs="Arial"/>
        </w:rPr>
        <w:t xml:space="preserve">Die Anlage 12 - Vorderseite ist entsprechend anzuwenden. Unter dem Namen und der amtlichen Bezeichnung der Realschule ist auf den Hauptschulbildungsgang zu verweisen. Unter Wahlpflichtunterricht ist </w:t>
      </w:r>
      <w:r>
        <w:rPr>
          <w:rFonts w:cs="Arial"/>
        </w:rPr>
        <w:t>„</w:t>
      </w:r>
      <w:r>
        <w:rPr>
          <w:rFonts w:cs="Arial"/>
        </w:rPr>
        <w:t>Arbeitslehre</w:t>
      </w:r>
      <w:r>
        <w:rPr>
          <w:rFonts w:cs="Arial"/>
        </w:rPr>
        <w:t>“</w:t>
      </w:r>
      <w:r>
        <w:rPr>
          <w:rFonts w:cs="Arial"/>
        </w:rPr>
        <w:t xml:space="preserve"> aufzunehmen. Die Angaben </w:t>
      </w:r>
      <w:r>
        <w:rPr>
          <w:rFonts w:cs="Arial"/>
        </w:rPr>
        <w:t>„</w:t>
      </w:r>
      <w:r>
        <w:rPr>
          <w:rFonts w:cs="Arial"/>
        </w:rPr>
        <w:t>Grundkurs/Erweiterungskurs</w:t>
      </w:r>
      <w:r>
        <w:rPr>
          <w:rFonts w:cs="Arial"/>
        </w:rPr>
        <w:t>“</w:t>
      </w:r>
      <w:r>
        <w:rPr>
          <w:rFonts w:cs="Arial"/>
        </w:rPr>
        <w:t xml:space="preserve"> werden durch die Angaben </w:t>
      </w:r>
      <w:r>
        <w:rPr>
          <w:rFonts w:cs="Arial"/>
        </w:rPr>
        <w:t>„</w:t>
      </w:r>
      <w:r>
        <w:rPr>
          <w:rFonts w:cs="Arial"/>
        </w:rPr>
        <w:t>Grundebene/Erweiterungsebene ersetzt. Die Fu</w:t>
      </w:r>
      <w:r>
        <w:rPr>
          <w:rFonts w:cs="Arial"/>
        </w:rPr>
        <w:t>ß</w:t>
      </w:r>
      <w:r>
        <w:rPr>
          <w:rFonts w:cs="Arial"/>
        </w:rPr>
        <w:t>note 1) wird erg</w:t>
      </w:r>
      <w:r>
        <w:rPr>
          <w:rFonts w:cs="Arial"/>
        </w:rPr>
        <w:t>ä</w:t>
      </w:r>
      <w:r>
        <w:rPr>
          <w:rFonts w:cs="Arial"/>
        </w:rPr>
        <w:t>nzt durch: Die Grundebene/Erweiterungsebene wird binnendifferenziert unterrichtet.</w:t>
      </w:r>
      <w:r>
        <w:rPr>
          <w:rFonts w:cs="Arial"/>
        </w:rPr>
        <w:t>“</w:t>
      </w:r>
    </w:p>
    <w:p w14:paraId="3D0303DE" w14:textId="77777777" w:rsidR="00AE30BD" w:rsidRDefault="00AE30BD">
      <w:pPr>
        <w:pStyle w:val="RVliste3n75nb"/>
      </w:pPr>
      <w:r>
        <w:t>3.</w:t>
      </w:r>
      <w:r>
        <w:tab/>
      </w:r>
      <w:r>
        <w:rPr>
          <w:rFonts w:cs="Calibri"/>
        </w:rPr>
        <w:t>Anlage 33 - Vorderseite wird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7B8412D" w14:textId="77777777" w:rsidR="00AE30BD" w:rsidRDefault="00AE30BD">
      <w:pPr>
        <w:pStyle w:val="RVliste2a75nbanfang"/>
        <w:rPr>
          <w:rFonts w:cs="Calibri"/>
        </w:rPr>
      </w:pPr>
      <w:r>
        <w:rPr>
          <w:rFonts w:cs="Calibri"/>
        </w:rPr>
        <w:t>a)</w:t>
      </w:r>
      <w:r>
        <w:tab/>
        <w:t xml:space="preserve">Die Klammer nach dem Wort </w:t>
      </w:r>
      <w:r>
        <w:t>„</w:t>
      </w:r>
      <w:r>
        <w:t>Wahlpflichtunterricht</w:t>
      </w:r>
      <w:r>
        <w:t>“</w:t>
      </w:r>
      <w:r>
        <w:t xml:space="preserve"> wird wie folgt gefasst: </w:t>
      </w:r>
      <w:r>
        <w:t>„</w:t>
      </w:r>
      <w:r>
        <w:t xml:space="preserve">(erteilt </w:t>
      </w:r>
      <w:r>
        <w:rPr>
          <w:rStyle w:val="RVsymbol"/>
          <w:rFonts w:cs="Calibri"/>
        </w:rPr>
        <w:t></w:t>
      </w:r>
      <w:r>
        <w:t xml:space="preserve"> ab Klasse 6</w:t>
      </w:r>
      <w:r>
        <w:rPr>
          <w:rStyle w:val="FNhochgestellt"/>
          <w:rFonts w:cs="Calibri"/>
        </w:rPr>
        <w:t>3</w:t>
      </w:r>
      <w:r>
        <w:t>/</w:t>
      </w:r>
      <w:r>
        <w:rPr>
          <w:rStyle w:val="RVsymbol"/>
          <w:rFonts w:cs="Calibri"/>
        </w:rPr>
        <w:t></w:t>
      </w:r>
      <w:r>
        <w:rPr>
          <w:rStyle w:val="RVsymbol"/>
          <w:rFonts w:cs="Calibri"/>
        </w:rPr>
        <w:t xml:space="preserve"> </w:t>
      </w:r>
      <w:r>
        <w:t>ab Klasse 7</w:t>
      </w:r>
      <w:r>
        <w:rPr>
          <w:rStyle w:val="FNhochgestellt"/>
          <w:rFonts w:cs="Calibri"/>
        </w:rPr>
        <w:t>3</w:t>
      </w:r>
      <w:r>
        <w:t>)</w:t>
      </w:r>
      <w:r>
        <w:t>“</w:t>
      </w:r>
    </w:p>
    <w:p w14:paraId="32A939E9" w14:textId="77777777" w:rsidR="00AE30BD" w:rsidRDefault="00AE30BD">
      <w:pPr>
        <w:pStyle w:val="RVliste2a75nb"/>
        <w:rPr>
          <w:rFonts w:cs="Arial"/>
        </w:rPr>
      </w:pPr>
      <w:r>
        <w:rPr>
          <w:rFonts w:cs="Arial"/>
        </w:rPr>
        <w:t>b)</w:t>
      </w:r>
      <w:r>
        <w:tab/>
        <w:t>Fu</w:t>
      </w:r>
      <w:r>
        <w:t>ß</w:t>
      </w:r>
      <w:r>
        <w:t xml:space="preserve">note 3 wird neu gefasst: </w:t>
      </w:r>
      <w:r>
        <w:t>„</w:t>
      </w:r>
      <w:r>
        <w:t>Zutreffendes ankreuzen</w:t>
      </w:r>
      <w:r>
        <w:t>“</w:t>
      </w:r>
    </w:p>
    <w:p w14:paraId="211F5BF7" w14:textId="77777777" w:rsidR="00AE30BD" w:rsidRDefault="00AE30BD">
      <w:pPr>
        <w:pStyle w:val="RVliste2a75nb"/>
      </w:pPr>
      <w:r>
        <w:t>c)</w:t>
      </w:r>
      <w:r>
        <w:rPr>
          <w:rFonts w:cs="Arial"/>
        </w:rPr>
        <w:tab/>
        <w:t>Die bisherigen Fu</w:t>
      </w:r>
      <w:r>
        <w:rPr>
          <w:rFonts w:cs="Arial"/>
        </w:rPr>
        <w:t>ß</w:t>
      </w:r>
      <w:r>
        <w:rPr>
          <w:rFonts w:cs="Arial"/>
        </w:rPr>
        <w:t>noten 3 und 4 werden 4 und 5.</w:t>
      </w:r>
    </w:p>
    <w:p w14:paraId="4B17CEAC" w14:textId="77777777" w:rsidR="00AE30BD" w:rsidRDefault="00AE30BD">
      <w:pPr>
        <w:pStyle w:val="RVliste3n75nb"/>
      </w:pPr>
      <w:r>
        <w:t>4.</w:t>
      </w:r>
      <w:r>
        <w:tab/>
      </w:r>
      <w:r>
        <w:rPr>
          <w:rFonts w:cs="Calibri"/>
        </w:rPr>
        <w:t>Die Vorderseite der Anlagen 34, 35, 43 und 44 und die Seite 2 der Anlagen 36,37, 38, 39, 45, 46, 47 und 48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B60824F" w14:textId="77777777" w:rsidR="00AE30BD" w:rsidRDefault="00AE30BD">
      <w:pPr>
        <w:pStyle w:val="RVfliesstext175nb"/>
        <w:rPr>
          <w:rFonts w:cs="Arial"/>
        </w:rPr>
      </w:pPr>
      <w:r>
        <w:t xml:space="preserve">Die erste Klammer nach dem Wort </w:t>
      </w:r>
      <w:r>
        <w:t>„</w:t>
      </w:r>
      <w:r>
        <w:t>Wahlpflichtunterricht</w:t>
      </w:r>
      <w:r>
        <w:t>“</w:t>
      </w:r>
      <w:r>
        <w:t xml:space="preserve"> wird wie folgt gefasst:</w:t>
      </w:r>
    </w:p>
    <w:p w14:paraId="70740B21" w14:textId="77777777" w:rsidR="00AE30BD" w:rsidRDefault="00AE30BD">
      <w:pPr>
        <w:pStyle w:val="RVfliesstext175nb"/>
        <w:rPr>
          <w:rFonts w:cs="Arial"/>
        </w:rPr>
      </w:pPr>
      <w:r>
        <w:t>„</w:t>
      </w:r>
      <w:r>
        <w:t xml:space="preserve">(erteilt </w:t>
      </w:r>
      <w:r>
        <w:rPr>
          <w:rStyle w:val="RVsymbol"/>
          <w:rFonts w:cs="Symbol"/>
        </w:rPr>
        <w:t></w:t>
      </w:r>
      <w:r>
        <w:rPr>
          <w:rStyle w:val="RVsymbol"/>
          <w:rFonts w:cs="Symbol"/>
        </w:rPr>
        <w:t xml:space="preserve"> </w:t>
      </w:r>
      <w:r>
        <w:t>ab Klasse 6/</w:t>
      </w:r>
      <w:r>
        <w:rPr>
          <w:rStyle w:val="RVsymbol"/>
          <w:rFonts w:cs="Symbol"/>
        </w:rPr>
        <w:t></w:t>
      </w:r>
      <w:r>
        <w:rPr>
          <w:rStyle w:val="RVsymbol"/>
          <w:rFonts w:cs="Symbol"/>
        </w:rPr>
        <w:t xml:space="preserve"> </w:t>
      </w:r>
      <w:r>
        <w:t xml:space="preserve">ab Klasse 7 - </w:t>
      </w:r>
      <w:r>
        <w:rPr>
          <w:rStyle w:val="FNhochgestellt"/>
          <w:rFonts w:cs="Arial"/>
        </w:rPr>
        <w:t>Zutreffendes ankreuzen</w:t>
      </w:r>
      <w:r>
        <w:t>)</w:t>
      </w:r>
      <w:r>
        <w:t>“</w:t>
      </w:r>
    </w:p>
    <w:p w14:paraId="2EDBE9B3" w14:textId="77777777" w:rsidR="00AE30BD" w:rsidRDefault="00AE30BD">
      <w:pPr>
        <w:pStyle w:val="RVliste3n75nb"/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>Der Runderlass tritt am 1. August 2016 in Kraft.</w:t>
      </w:r>
    </w:p>
    <w:p w14:paraId="45A1437B" w14:textId="77777777" w:rsidR="00AE30BD" w:rsidRDefault="00AE30BD">
      <w:pPr>
        <w:pStyle w:val="RVfliesstext175nb"/>
        <w:rPr>
          <w:rFonts w:cs="Arial"/>
        </w:rPr>
      </w:pPr>
    </w:p>
    <w:p w14:paraId="56A69C26" w14:textId="77777777" w:rsidR="00AE30BD" w:rsidRDefault="00AE30BD">
      <w:pPr>
        <w:pStyle w:val="RVfliesstext175nb"/>
        <w:jc w:val="right"/>
        <w:rPr>
          <w:rFonts w:cs="Arial"/>
        </w:rPr>
      </w:pPr>
      <w:r>
        <w:t>ABl. NRW. 07-08/2016 S. 63</w:t>
      </w:r>
    </w:p>
    <w:p w14:paraId="50C14F2C" w14:textId="77777777" w:rsidR="00AE30BD" w:rsidRDefault="00AE30BD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4EDC" w14:textId="77777777" w:rsidR="00AE30BD" w:rsidRDefault="00AE30BD">
      <w:pPr>
        <w:widowControl/>
      </w:pPr>
      <w:r>
        <w:rPr>
          <w:rFonts w:cs="Calibri"/>
        </w:rPr>
        <w:separator/>
      </w:r>
    </w:p>
  </w:endnote>
  <w:endnote w:type="continuationSeparator" w:id="0">
    <w:p w14:paraId="3241D426" w14:textId="77777777" w:rsidR="00AE30BD" w:rsidRDefault="00AE30B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2EB8" w14:textId="77777777" w:rsidR="00AE30BD" w:rsidRDefault="00AE30BD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6F017" w14:textId="77777777" w:rsidR="00AE30BD" w:rsidRDefault="00AE30B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BDE4945" w14:textId="77777777" w:rsidR="00AE30BD" w:rsidRDefault="00AE30BD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44B00223" w14:textId="77777777" w:rsidR="00AE30BD" w:rsidRDefault="00AE30BD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Innerhalb der Lernbereiche sind die F</w:t>
      </w:r>
      <w:r>
        <w:t>ä</w:t>
      </w:r>
      <w:r>
        <w:t>cher w</w:t>
      </w:r>
      <w:r>
        <w:t>ä</w:t>
      </w:r>
      <w:r>
        <w:t>hrend des Bildungsgangs gleichgewichtig zu ber</w:t>
      </w:r>
      <w:r>
        <w:t>ü</w:t>
      </w:r>
      <w:r>
        <w:t>cksichtigen</w:t>
      </w:r>
      <w:r>
        <w:rPr>
          <w:rFonts w:cs="Calibri"/>
        </w:rPr>
        <w:t>.</w:t>
      </w:r>
      <w:r>
        <w:t xml:space="preserve"> Im Lernbereich Naturwissenschaften wechseln fachbezogene Lehrg</w:t>
      </w:r>
      <w:r>
        <w:t>ä</w:t>
      </w:r>
      <w:r>
        <w:t>nge mit fach</w:t>
      </w:r>
      <w:r>
        <w:t>ü</w:t>
      </w:r>
      <w:r>
        <w:t>bergreifenden Projekten</w:t>
      </w:r>
      <w:r>
        <w:rPr>
          <w:rFonts w:cs="Calibri"/>
        </w:rPr>
        <w:t>.</w:t>
      </w:r>
    </w:p>
  </w:footnote>
  <w:footnote w:id="2">
    <w:p w14:paraId="2F4EE390" w14:textId="77777777" w:rsidR="00AE30BD" w:rsidRDefault="00AE30BD">
      <w:pPr>
        <w:pStyle w:val="RVFudfnote160nb"/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F</w:t>
      </w:r>
      <w:r>
        <w:t>ü</w:t>
      </w:r>
      <w:r>
        <w:t xml:space="preserve">r den Unterricht in praktischer Philosophie gilt </w:t>
      </w:r>
      <w:r>
        <w:rPr>
          <w:rFonts w:cs="Calibri"/>
        </w:rPr>
        <w:t>§</w:t>
      </w:r>
      <w:r>
        <w:t xml:space="preserve"> 3 Absatz 5</w:t>
      </w:r>
    </w:p>
  </w:footnote>
  <w:footnote w:id="3">
    <w:p w14:paraId="007CE5E8" w14:textId="77777777" w:rsidR="00AE30BD" w:rsidRDefault="00AE30BD">
      <w:pPr>
        <w:pStyle w:val="RVFudfnote160nb"/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Gem</w:t>
      </w:r>
      <w:r>
        <w:t>äß</w:t>
      </w:r>
      <w:r>
        <w:t xml:space="preserve"> schulinterner F</w:t>
      </w:r>
      <w:r>
        <w:t>ö</w:t>
      </w:r>
      <w:r>
        <w:t>rderplanung verteilt auf die Klassen 5</w:t>
      </w:r>
      <w:r>
        <w:rPr>
          <w:rFonts w:cs="Calibri"/>
        </w:rPr>
        <w:t>-</w:t>
      </w:r>
      <w:r>
        <w:t>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42D1"/>
    <w:rsid w:val="009E42D1"/>
    <w:rsid w:val="00A339FA"/>
    <w:rsid w:val="00A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45ADB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