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C9D06" w14:textId="77777777" w:rsidR="0030060A" w:rsidRDefault="0030060A">
      <w:pPr>
        <w:pStyle w:val="RVtabellenanker"/>
        <w:framePr w:h="20" w:hRule="exact" w:wrap="auto" w:hAnchor="text"/>
        <w:widowControl/>
        <w:rPr>
          <w:rFonts w:cs="Arial"/>
        </w:rPr>
      </w:pPr>
    </w:p>
    <w:tbl>
      <w:tblPr>
        <w:tblW w:w="5000" w:type="pct"/>
        <w:tblBorders>
          <w:top w:val="none" w:sz="2" w:space="0" w:color="auto"/>
          <w:left w:val="none" w:sz="2" w:space="0" w:color="auto"/>
          <w:bottom w:val="none" w:sz="2" w:space="0" w:color="auto"/>
          <w:right w:val="none" w:sz="2" w:space="0" w:color="auto"/>
          <w:insideH w:val="single" w:sz="6" w:space="0" w:color="auto"/>
          <w:insideV w:val="single" w:sz="6" w:space="0" w:color="auto"/>
        </w:tblBorders>
        <w:tblLayout w:type="fixed"/>
        <w:tblCellMar>
          <w:top w:w="120" w:type="dxa"/>
          <w:left w:w="60" w:type="dxa"/>
          <w:bottom w:w="60" w:type="dxa"/>
          <w:right w:w="60" w:type="dxa"/>
        </w:tblCellMar>
        <w:tblLook w:val="0000" w:firstRow="0" w:lastRow="0" w:firstColumn="0" w:lastColumn="0" w:noHBand="0" w:noVBand="0"/>
      </w:tblPr>
      <w:tblGrid>
        <w:gridCol w:w="5005"/>
      </w:tblGrid>
      <w:tr w:rsidR="00000000" w14:paraId="4B0E66E5" w14:textId="77777777">
        <w:tc>
          <w:tcPr>
            <w:tcW w:w="4883" w:type="dxa"/>
            <w:tcBorders>
              <w:top w:val="none" w:sz="2" w:space="0" w:color="auto"/>
              <w:bottom w:val="none" w:sz="2" w:space="0" w:color="auto"/>
            </w:tcBorders>
            <w:shd w:val="solid" w:color="CCCCCC" w:fill="auto"/>
            <w:tcMar>
              <w:top w:w="100" w:type="dxa"/>
              <w:left w:w="60" w:type="dxa"/>
              <w:bottom w:w="60" w:type="dxa"/>
              <w:right w:w="60" w:type="dxa"/>
            </w:tcMar>
          </w:tcPr>
          <w:p w14:paraId="68C0E497" w14:textId="77777777" w:rsidR="0030060A" w:rsidRDefault="0030060A">
            <w:pPr>
              <w:pStyle w:val="RVfliesstext175nb"/>
            </w:pPr>
            <w:r>
              <w:t>Ab dem Schuljahr 2016/17 wird das Eignungsfeststellungsverfahren (EFV) verpflichtend f</w:t>
            </w:r>
            <w:r>
              <w:t>ü</w:t>
            </w:r>
            <w:r>
              <w:t>r Lehrkr</w:t>
            </w:r>
            <w:r>
              <w:t>ä</w:t>
            </w:r>
            <w:r>
              <w:t xml:space="preserve">fte </w:t>
            </w:r>
            <w:r>
              <w:rPr>
                <w:rFonts w:cs="Arial"/>
              </w:rPr>
              <w:t>aller Schulformen, die sich um ein Amt einer Schulleiterin oder eines Schulleiters bewerben m</w:t>
            </w:r>
            <w:r>
              <w:rPr>
                <w:rFonts w:cs="Arial"/>
              </w:rPr>
              <w:t>ö</w:t>
            </w:r>
            <w:r>
              <w:rPr>
                <w:rFonts w:cs="Arial"/>
              </w:rPr>
              <w:t xml:space="preserve">chten. Die </w:t>
            </w:r>
            <w:r>
              <w:rPr>
                <w:rFonts w:cs="Arial"/>
              </w:rPr>
              <w:t>Ü</w:t>
            </w:r>
            <w:r>
              <w:rPr>
                <w:rFonts w:cs="Arial"/>
              </w:rPr>
              <w:t>bergangszeit, in der Lehrkr</w:t>
            </w:r>
            <w:r>
              <w:rPr>
                <w:rFonts w:cs="Arial"/>
              </w:rPr>
              <w:t>ä</w:t>
            </w:r>
            <w:r>
              <w:rPr>
                <w:rFonts w:cs="Arial"/>
              </w:rPr>
              <w:t>fte aus Grundschulen freiwillig auf Antrag am EFV teilnehmen k</w:t>
            </w:r>
            <w:r>
              <w:rPr>
                <w:rFonts w:cs="Arial"/>
              </w:rPr>
              <w:t>ö</w:t>
            </w:r>
            <w:r>
              <w:rPr>
                <w:rFonts w:cs="Arial"/>
              </w:rPr>
              <w:t>nnen, endet mit dem 31.07.2016. Dies bedeutet, dass alle ab dem 01.08.2016 ausgeschriebenen Schulleitungsstellen f</w:t>
            </w:r>
            <w:r>
              <w:rPr>
                <w:rFonts w:cs="Arial"/>
              </w:rPr>
              <w:t>ü</w:t>
            </w:r>
            <w:r>
              <w:rPr>
                <w:rFonts w:cs="Arial"/>
              </w:rPr>
              <w:t>r alle Schulformen als Bewerbungsbedingung ein bestandenes EFV voraussetzen.</w:t>
            </w:r>
          </w:p>
        </w:tc>
      </w:tr>
    </w:tbl>
    <w:p w14:paraId="028E4A91" w14:textId="77777777" w:rsidR="0030060A" w:rsidRDefault="0030060A">
      <w:pPr>
        <w:pStyle w:val="BASS-Nr-ABl"/>
        <w:widowControl/>
        <w:rPr>
          <w:rFonts w:cs="Arial"/>
        </w:rPr>
      </w:pPr>
      <w:r>
        <w:rPr>
          <w:rFonts w:cs="Arial"/>
        </w:rPr>
        <w:t xml:space="preserve">Zu BASS </w:t>
      </w:r>
      <w:r>
        <w:t>21-01 Nr. 30</w:t>
      </w:r>
    </w:p>
    <w:p w14:paraId="27CF5B51" w14:textId="77777777" w:rsidR="0030060A" w:rsidRDefault="0030060A">
      <w:pPr>
        <w:pStyle w:val="RVueberschrift1100fz"/>
        <w:keepNext/>
        <w:keepLines/>
        <w:rPr>
          <w:rFonts w:cs="Arial"/>
        </w:rPr>
      </w:pPr>
      <w:r>
        <w:t xml:space="preserve">Bewerbung von Lehrerinnen und Lehrern </w:t>
      </w:r>
      <w:r>
        <w:br/>
      </w:r>
      <w:r>
        <w:t xml:space="preserve">um ein Amt als Schulleiterin oder als Schulleiter; Eignungsfeststellungsverfahren </w:t>
      </w:r>
      <w:r>
        <w:br/>
        <w:t xml:space="preserve">und dienstliche Beurteilung </w:t>
      </w:r>
    </w:p>
    <w:p w14:paraId="58EF0692" w14:textId="77777777" w:rsidR="0030060A" w:rsidRDefault="0030060A">
      <w:pPr>
        <w:pStyle w:val="RVueberschrift285nz"/>
        <w:keepNext/>
        <w:keepLines/>
      </w:pPr>
      <w:r>
        <w:rPr>
          <w:rFonts w:cs="Calibri"/>
        </w:rPr>
        <w:t>RdErl. d. Ministeriums f</w:t>
      </w:r>
      <w:r>
        <w:rPr>
          <w:rFonts w:cs="Calibri"/>
        </w:rPr>
        <w:t>ü</w:t>
      </w:r>
      <w:r>
        <w:rPr>
          <w:rFonts w:cs="Calibri"/>
        </w:rPr>
        <w:t xml:space="preserve">r Schule und Weiterbildung </w:t>
      </w:r>
      <w:r>
        <w:rPr>
          <w:rFonts w:cs="Calibri"/>
        </w:rPr>
        <w:br/>
        <w:t>v. 02.05.2016 - 412-6.03.12-125732</w:t>
      </w:r>
    </w:p>
    <w:p w14:paraId="64DBFF34" w14:textId="77777777" w:rsidR="0030060A" w:rsidRDefault="0030060A">
      <w:pPr>
        <w:pStyle w:val="RVueberschrift285fz"/>
        <w:keepNext/>
        <w:keepLines/>
        <w:rPr>
          <w:rFonts w:cs="Arial"/>
        </w:rPr>
      </w:pPr>
      <w:r>
        <w:t>1 Grundsatz</w:t>
      </w:r>
    </w:p>
    <w:p w14:paraId="66DA6ADE" w14:textId="77777777" w:rsidR="0030060A" w:rsidRDefault="0030060A">
      <w:pPr>
        <w:pStyle w:val="RVfliesstext175nb"/>
        <w:rPr>
          <w:rFonts w:cs="Arial"/>
        </w:rPr>
      </w:pPr>
      <w:r>
        <w:t>Lehrkr</w:t>
      </w:r>
      <w:r>
        <w:t>ä</w:t>
      </w:r>
      <w:r>
        <w:t>fte, die sich um ein Amt als Schulleiterin oder als Schulleiter bewerben m</w:t>
      </w:r>
      <w:r>
        <w:t>ö</w:t>
      </w:r>
      <w:r>
        <w:t>chten, nehmen vor ihrer Bewerbung an einem Verfahren zur Feststellung ihrer Eignung (Eignungsfeststellungsverfahren - EFV) teil.</w:t>
      </w:r>
    </w:p>
    <w:p w14:paraId="6442C5F3" w14:textId="77777777" w:rsidR="0030060A" w:rsidRDefault="0030060A">
      <w:pPr>
        <w:pStyle w:val="RVueberschrift285fz"/>
        <w:keepNext/>
        <w:keepLines/>
        <w:rPr>
          <w:rFonts w:cs="Arial"/>
        </w:rPr>
      </w:pPr>
      <w:r>
        <w:t>2 Ausschreibung</w:t>
      </w:r>
    </w:p>
    <w:p w14:paraId="70B0EC6B" w14:textId="77777777" w:rsidR="0030060A" w:rsidRDefault="0030060A">
      <w:pPr>
        <w:pStyle w:val="RVfliesstext175nb"/>
        <w:rPr>
          <w:rFonts w:cs="Arial"/>
        </w:rPr>
      </w:pPr>
      <w:r>
        <w:t>Stellen f</w:t>
      </w:r>
      <w:r>
        <w:t>ü</w:t>
      </w:r>
      <w:r>
        <w:t>r Schulleiterinnen und Schulleiter werden f</w:t>
      </w:r>
      <w:r>
        <w:t>ü</w:t>
      </w:r>
      <w:r>
        <w:t>r Bewerberinnen und Bewerber ausgeschrieben, die das EFV bestanden haben oder bereits ein Amt als Schulleiterin oder Schulleiter auf Dauer innehaben oder innehatten.</w:t>
      </w:r>
    </w:p>
    <w:p w14:paraId="4E6AA959" w14:textId="77777777" w:rsidR="0030060A" w:rsidRDefault="0030060A">
      <w:pPr>
        <w:pStyle w:val="RVueberschrift285fz"/>
        <w:keepNext/>
        <w:keepLines/>
        <w:rPr>
          <w:rFonts w:cs="Arial"/>
        </w:rPr>
      </w:pPr>
      <w:r>
        <w:t>3 Zugangsvoraussetzungen</w:t>
      </w:r>
    </w:p>
    <w:p w14:paraId="6CEFAB7F" w14:textId="77777777" w:rsidR="0030060A" w:rsidRDefault="0030060A">
      <w:pPr>
        <w:pStyle w:val="RVfliesstext175nb"/>
        <w:rPr>
          <w:rFonts w:cs="Arial"/>
        </w:rPr>
      </w:pPr>
      <w:r>
        <w:t>3.1 Zum EFV werden Lehrerinnen und Lehrer aus dem Schuldienst oder Ersatzschuldienst des Landes zugelassen, die an der staatlichen Schulleitungsqualifizierung - SLQ (BASS 20-22 Nr. 62) teilgenommen haben oder mindestens sechs Monate ununterbrochen die Funktion einer Schulleiterin oder eines Schulleiters, z.B. im Wege einer Beauftragung oder als Abwesenheitsvertretung, wahrgenommen haben oder denen ein Amt gem</w:t>
      </w:r>
      <w:r>
        <w:t>äß</w:t>
      </w:r>
      <w:r>
        <w:t xml:space="preserve"> </w:t>
      </w:r>
      <w:r>
        <w:t>§</w:t>
      </w:r>
      <w:r>
        <w:t xml:space="preserve"> 54 Absatz 1 Satz 1 Laufbahnverordnung auf Dauer </w:t>
      </w:r>
      <w:r>
        <w:t>ü</w:t>
      </w:r>
      <w:r>
        <w:t>bertragen worden ist. F</w:t>
      </w:r>
      <w:r>
        <w:t>ü</w:t>
      </w:r>
      <w:r>
        <w:t>r Schulleiterinnen und Schulleiter, die bereits ein entsprechendes Amt auf Dauer innehaben oder innehatten, bedarf es keiner Teilnahme am EFV.</w:t>
      </w:r>
    </w:p>
    <w:p w14:paraId="4193241E" w14:textId="77777777" w:rsidR="0030060A" w:rsidRDefault="0030060A">
      <w:pPr>
        <w:pStyle w:val="RVfliesstext175nb"/>
        <w:rPr>
          <w:rFonts w:cs="Arial"/>
        </w:rPr>
      </w:pPr>
      <w:r>
        <w:t>3.2 Ferner werden Lehrerinnen und Lehrer zum EFV zugelassen, die einen gleichwertigen, vom Ministerium f</w:t>
      </w:r>
      <w:r>
        <w:t>ü</w:t>
      </w:r>
      <w:r>
        <w:t>r Schule und Weiterbildung anerkannten Weiterbildungskurs bei einer kirchlichen oder anderen Einrichtung von mindestens 104 Stunden Dauer oder ein auf F</w:t>
      </w:r>
      <w:r>
        <w:t>ü</w:t>
      </w:r>
      <w:r>
        <w:t>hrung und Management ausgerichtetes, mindestens zweisemestriges Zusatzstudium an einer Hochschule erfolgreich abgeschlossen haben.</w:t>
      </w:r>
    </w:p>
    <w:p w14:paraId="44DD6BD7" w14:textId="77777777" w:rsidR="0030060A" w:rsidRDefault="0030060A">
      <w:pPr>
        <w:pStyle w:val="RVfliesstext175nb"/>
        <w:rPr>
          <w:rFonts w:cs="Arial"/>
        </w:rPr>
      </w:pPr>
      <w:r>
        <w:t>3.3 Lehrerinnen und Lehrer aus anderen Bundesl</w:t>
      </w:r>
      <w:r>
        <w:t>ä</w:t>
      </w:r>
      <w:r>
        <w:t>ndern oder aus dem Auslandsschuldienst k</w:t>
      </w:r>
      <w:r>
        <w:t>ö</w:t>
      </w:r>
      <w:r>
        <w:t>nnen zum EFV zugelassen werden, wenn sie eine gleichwertige Qualifizierung oder Funktion nachweisen. Reisekosten werden diesen Bewerberinnen und Bewerbern nicht erstattet.</w:t>
      </w:r>
    </w:p>
    <w:p w14:paraId="7D7EE1E1" w14:textId="77777777" w:rsidR="0030060A" w:rsidRDefault="0030060A">
      <w:pPr>
        <w:pStyle w:val="RVfliesstext175nb"/>
        <w:rPr>
          <w:rFonts w:cs="Arial"/>
        </w:rPr>
      </w:pPr>
      <w:r>
        <w:t>3.4 F</w:t>
      </w:r>
      <w:r>
        <w:t>ü</w:t>
      </w:r>
      <w:r>
        <w:t>r eine Teilnahme am Bewerbungsverfahren reicht die feste Terminierung des EFV aus.</w:t>
      </w:r>
    </w:p>
    <w:p w14:paraId="07AC7F96" w14:textId="77777777" w:rsidR="0030060A" w:rsidRDefault="0030060A">
      <w:pPr>
        <w:pStyle w:val="RVueberschrift285fz"/>
        <w:keepNext/>
        <w:keepLines/>
        <w:rPr>
          <w:rFonts w:cs="Arial"/>
        </w:rPr>
      </w:pPr>
      <w:r>
        <w:t>4 Verfahren</w:t>
      </w:r>
    </w:p>
    <w:p w14:paraId="7FA740EE" w14:textId="77777777" w:rsidR="0030060A" w:rsidRDefault="0030060A">
      <w:pPr>
        <w:pStyle w:val="RVfliesstext175nb"/>
        <w:rPr>
          <w:rFonts w:cs="Arial"/>
        </w:rPr>
      </w:pPr>
      <w:r>
        <w:t>4.1 EFV werden bezirks</w:t>
      </w:r>
      <w:r>
        <w:t>ü</w:t>
      </w:r>
      <w:r>
        <w:t>bergreifend von den Bezirksregierungen mit fachlicher und organisatorischer Unterst</w:t>
      </w:r>
      <w:r>
        <w:t>ü</w:t>
      </w:r>
      <w:r>
        <w:t>tzung durch die QUA-LiS NRW durchgef</w:t>
      </w:r>
      <w:r>
        <w:t>ü</w:t>
      </w:r>
      <w:r>
        <w:t>hrt.</w:t>
      </w:r>
    </w:p>
    <w:p w14:paraId="4E72E771" w14:textId="77777777" w:rsidR="0030060A" w:rsidRDefault="0030060A">
      <w:pPr>
        <w:pStyle w:val="RVfliesstext175nb"/>
        <w:rPr>
          <w:rFonts w:cs="Arial"/>
        </w:rPr>
      </w:pPr>
      <w:r>
        <w:t>4.2 Die Bezirksregierungen berufen im Einvernehmen mit dem Ministerium f</w:t>
      </w:r>
      <w:r>
        <w:t>ü</w:t>
      </w:r>
      <w:r>
        <w:t>r Schule und Weiterbildung die Beobachterinnen und Beobachter f</w:t>
      </w:r>
      <w:r>
        <w:t>ü</w:t>
      </w:r>
      <w:r>
        <w:t>r die EFV. Die Beobachterinnen und Beobachter sind vor ihrem erstmaligen Einsatz sowie bei Anpassungsbedarf von der QUA-LiS NRW zu schulen. Sie sind in der Wahrnehmung ihrer Aufgaben weisungsfrei. Ihre T</w:t>
      </w:r>
      <w:r>
        <w:t>ä</w:t>
      </w:r>
      <w:r>
        <w:t>tigkeit ist vorrangiges Dienstgesch</w:t>
      </w:r>
      <w:r>
        <w:t>ä</w:t>
      </w:r>
      <w:r>
        <w:t>ft.</w:t>
      </w:r>
    </w:p>
    <w:p w14:paraId="2925B2FE" w14:textId="77777777" w:rsidR="0030060A" w:rsidRDefault="0030060A">
      <w:pPr>
        <w:pStyle w:val="RVfliesstext175nb"/>
        <w:rPr>
          <w:rFonts w:cs="Arial"/>
        </w:rPr>
      </w:pPr>
      <w:r>
        <w:t>4.3 Ein EFV wird von sieben Beobachterinnen und Beobachtern durchgef</w:t>
      </w:r>
      <w:r>
        <w:t>ü</w:t>
      </w:r>
      <w:r>
        <w:t>hrt, davon</w:t>
      </w:r>
    </w:p>
    <w:p w14:paraId="2650850E" w14:textId="77777777" w:rsidR="0030060A" w:rsidRDefault="0030060A">
      <w:pPr>
        <w:pStyle w:val="RVliste3u75nb"/>
      </w:pPr>
      <w:r>
        <w:t>-</w:t>
      </w:r>
      <w:r>
        <w:tab/>
      </w:r>
      <w:r>
        <w:rPr>
          <w:rFonts w:cs="Arial"/>
        </w:rPr>
        <w:t>drei Schulaufsichtsbeamtinnen oder Schulaufsichtsbeamte,</w:t>
      </w:r>
    </w:p>
    <w:p w14:paraId="7A0D2833" w14:textId="77777777" w:rsidR="0030060A" w:rsidRDefault="0030060A">
      <w:pPr>
        <w:pStyle w:val="RVliste3u75nb"/>
        <w:rPr>
          <w:rFonts w:cs="Arial"/>
        </w:rPr>
      </w:pPr>
      <w:r>
        <w:rPr>
          <w:rFonts w:cs="Arial"/>
        </w:rPr>
        <w:t>-</w:t>
      </w:r>
      <w:r>
        <w:rPr>
          <w:rFonts w:cs="Arial"/>
        </w:rPr>
        <w:tab/>
      </w:r>
      <w:r>
        <w:t>zwei Schulleiter/Schulleiterinnen,</w:t>
      </w:r>
    </w:p>
    <w:p w14:paraId="65CC1C9E" w14:textId="77777777" w:rsidR="0030060A" w:rsidRDefault="0030060A">
      <w:pPr>
        <w:pStyle w:val="RVliste3u75nb"/>
      </w:pPr>
      <w:r>
        <w:t>-</w:t>
      </w:r>
      <w:r>
        <w:tab/>
      </w:r>
      <w:r>
        <w:rPr>
          <w:rFonts w:cs="Arial"/>
        </w:rPr>
        <w:t>zwei von den kommunalen Spitzenverb</w:t>
      </w:r>
      <w:r>
        <w:rPr>
          <w:rFonts w:cs="Arial"/>
        </w:rPr>
        <w:t>ä</w:t>
      </w:r>
      <w:r>
        <w:rPr>
          <w:rFonts w:cs="Arial"/>
        </w:rPr>
        <w:t>nden benannte Vertreterinnen oder Vertreter der Schultr</w:t>
      </w:r>
      <w:r>
        <w:rPr>
          <w:rFonts w:cs="Arial"/>
        </w:rPr>
        <w:t>ä</w:t>
      </w:r>
      <w:r>
        <w:rPr>
          <w:rFonts w:cs="Arial"/>
        </w:rPr>
        <w:t>gerseite.</w:t>
      </w:r>
    </w:p>
    <w:p w14:paraId="6272CF69" w14:textId="77777777" w:rsidR="0030060A" w:rsidRDefault="0030060A">
      <w:pPr>
        <w:pStyle w:val="RVfliesstext175nb"/>
      </w:pPr>
      <w:r>
        <w:rPr>
          <w:rFonts w:cs="Arial"/>
        </w:rPr>
        <w:t>Eine Vertretung durch geschulte Beobachterinnen oder Beobachter ist sicherzustellen. Die im EFV eingesetzten Beobachterinnen und Beobachter sollen unterschiedlichen Schulformen angeh</w:t>
      </w:r>
      <w:r>
        <w:rPr>
          <w:rFonts w:cs="Arial"/>
        </w:rPr>
        <w:t>ö</w:t>
      </w:r>
      <w:r>
        <w:rPr>
          <w:rFonts w:cs="Arial"/>
        </w:rPr>
        <w:t>ren. Eine geschlechterparit</w:t>
      </w:r>
      <w:r>
        <w:rPr>
          <w:rFonts w:cs="Arial"/>
        </w:rPr>
        <w:t>ä</w:t>
      </w:r>
      <w:r>
        <w:rPr>
          <w:rFonts w:cs="Arial"/>
        </w:rPr>
        <w:t>tische Besetzung ist anzustreben (</w:t>
      </w:r>
      <w:r>
        <w:rPr>
          <w:rFonts w:cs="Arial"/>
        </w:rPr>
        <w:t>§</w:t>
      </w:r>
      <w:r>
        <w:rPr>
          <w:rFonts w:cs="Arial"/>
        </w:rPr>
        <w:t xml:space="preserve"> 12 LGG). Die Vertreter der Schulleitung nehmen ihre Aufgaben als eine auf Veranlassung des Dienstvorgesetzten ausge</w:t>
      </w:r>
      <w:r>
        <w:rPr>
          <w:rFonts w:cs="Arial"/>
        </w:rPr>
        <w:t>ü</w:t>
      </w:r>
      <w:r>
        <w:rPr>
          <w:rFonts w:cs="Arial"/>
        </w:rPr>
        <w:t>bte Nebent</w:t>
      </w:r>
      <w:r>
        <w:rPr>
          <w:rFonts w:cs="Arial"/>
        </w:rPr>
        <w:t>ä</w:t>
      </w:r>
      <w:r>
        <w:rPr>
          <w:rFonts w:cs="Arial"/>
        </w:rPr>
        <w:t>tigkeit gem</w:t>
      </w:r>
      <w:r>
        <w:rPr>
          <w:rFonts w:cs="Arial"/>
        </w:rPr>
        <w:t>äß</w:t>
      </w:r>
      <w:r>
        <w:rPr>
          <w:rFonts w:cs="Arial"/>
        </w:rPr>
        <w:t xml:space="preserve"> </w:t>
      </w:r>
      <w:r>
        <w:rPr>
          <w:rFonts w:cs="Arial"/>
        </w:rPr>
        <w:t>§</w:t>
      </w:r>
      <w:r>
        <w:rPr>
          <w:rFonts w:cs="Arial"/>
        </w:rPr>
        <w:t xml:space="preserve"> 48 i.V.m. </w:t>
      </w:r>
      <w:r>
        <w:rPr>
          <w:rFonts w:cs="Arial"/>
        </w:rPr>
        <w:t>§</w:t>
      </w:r>
      <w:r>
        <w:rPr>
          <w:rFonts w:cs="Arial"/>
        </w:rPr>
        <w:t xml:space="preserve"> 52 LBG wahr. Die Beobachterinnen und Beobachter d</w:t>
      </w:r>
      <w:r>
        <w:rPr>
          <w:rFonts w:cs="Arial"/>
        </w:rPr>
        <w:t>ü</w:t>
      </w:r>
      <w:r>
        <w:rPr>
          <w:rFonts w:cs="Arial"/>
        </w:rPr>
        <w:t>rfen nicht Vorgesetzte oder Angeh</w:t>
      </w:r>
      <w:r>
        <w:rPr>
          <w:rFonts w:cs="Arial"/>
        </w:rPr>
        <w:t>ö</w:t>
      </w:r>
      <w:r>
        <w:rPr>
          <w:rFonts w:cs="Arial"/>
        </w:rPr>
        <w:t>rige (</w:t>
      </w:r>
      <w:r>
        <w:rPr>
          <w:rFonts w:cs="Arial"/>
        </w:rPr>
        <w:t>§</w:t>
      </w:r>
      <w:r>
        <w:rPr>
          <w:rFonts w:cs="Arial"/>
        </w:rPr>
        <w:t xml:space="preserve"> 20 Absatz 1 und 5 VwVfG. NRW.) der Teilnehmenden sein.</w:t>
      </w:r>
    </w:p>
    <w:p w14:paraId="698BCC34" w14:textId="77777777" w:rsidR="0030060A" w:rsidRDefault="0030060A">
      <w:pPr>
        <w:pStyle w:val="RVfliesstext175nb"/>
      </w:pPr>
      <w:r>
        <w:rPr>
          <w:rFonts w:cs="Arial"/>
        </w:rPr>
        <w:t>4.4 Das EFV wird an zwei aufeinander folgenden Tagen durchgef</w:t>
      </w:r>
      <w:r>
        <w:rPr>
          <w:rFonts w:cs="Arial"/>
        </w:rPr>
        <w:t>ü</w:t>
      </w:r>
      <w:r>
        <w:rPr>
          <w:rFonts w:cs="Arial"/>
        </w:rPr>
        <w:t xml:space="preserve">hrt. Die am EFV beteiligten Bezirksregierungen informieren die schulfachlichen Gleichstellungsbeauftragten, die Personalvertretungen und die Schwerbehindertenvertretungen </w:t>
      </w:r>
      <w:r>
        <w:rPr>
          <w:rFonts w:cs="Arial"/>
        </w:rPr>
        <w:t>ü</w:t>
      </w:r>
      <w:r>
        <w:rPr>
          <w:rFonts w:cs="Arial"/>
        </w:rPr>
        <w:t>ber die Terminierung der EFV. Die schulfachlichen Gleichstellungsbeauftragten benennen eine Vertreterin, die gem</w:t>
      </w:r>
      <w:r>
        <w:rPr>
          <w:rFonts w:cs="Arial"/>
        </w:rPr>
        <w:t>äß</w:t>
      </w:r>
      <w:r>
        <w:rPr>
          <w:rFonts w:cs="Arial"/>
        </w:rPr>
        <w:t xml:space="preserve"> </w:t>
      </w:r>
      <w:r>
        <w:rPr>
          <w:rFonts w:cs="Arial"/>
        </w:rPr>
        <w:t>§</w:t>
      </w:r>
      <w:r>
        <w:rPr>
          <w:rFonts w:cs="Arial"/>
        </w:rPr>
        <w:t xml:space="preserve"> 17 Absatz 1 LGG insbesondere auf die einheitliche Anwendung der Beurteilungsma</w:t>
      </w:r>
      <w:r>
        <w:rPr>
          <w:rFonts w:cs="Arial"/>
        </w:rPr>
        <w:t>ß</w:t>
      </w:r>
      <w:r>
        <w:rPr>
          <w:rFonts w:cs="Arial"/>
        </w:rPr>
        <w:t>st</w:t>
      </w:r>
      <w:r>
        <w:rPr>
          <w:rFonts w:cs="Arial"/>
        </w:rPr>
        <w:t>ä</w:t>
      </w:r>
      <w:r>
        <w:rPr>
          <w:rFonts w:cs="Arial"/>
        </w:rPr>
        <w:t>be hinwirkt. Dar</w:t>
      </w:r>
      <w:r>
        <w:rPr>
          <w:rFonts w:cs="Arial"/>
        </w:rPr>
        <w:t>ü</w:t>
      </w:r>
      <w:r>
        <w:rPr>
          <w:rFonts w:cs="Arial"/>
        </w:rPr>
        <w:t>ber hinaus k</w:t>
      </w:r>
      <w:r>
        <w:rPr>
          <w:rFonts w:cs="Arial"/>
        </w:rPr>
        <w:t>ö</w:t>
      </w:r>
      <w:r>
        <w:rPr>
          <w:rFonts w:cs="Arial"/>
        </w:rPr>
        <w:t xml:space="preserve">nnen ein </w:t>
      </w:r>
      <w:r>
        <w:rPr>
          <w:rFonts w:cs="Arial"/>
        </w:rPr>
        <w:t>Mitglied einer Personalvertretung und ein Mitglied einer Schwerbehindertenvertretung ohne Stimmrecht in beobachtender Funktion am EFV teilnehmen. Die Rechte der Schwerbehindertenvertretung bleiben unber</w:t>
      </w:r>
      <w:r>
        <w:rPr>
          <w:rFonts w:cs="Arial"/>
        </w:rPr>
        <w:t>ü</w:t>
      </w:r>
      <w:r>
        <w:rPr>
          <w:rFonts w:cs="Arial"/>
        </w:rPr>
        <w:t>hrt. Aus dienstlichem Anlass, z.B. zur Evaluation oder Hospitation, k</w:t>
      </w:r>
      <w:r>
        <w:rPr>
          <w:rFonts w:cs="Arial"/>
        </w:rPr>
        <w:t>ö</w:t>
      </w:r>
      <w:r>
        <w:rPr>
          <w:rFonts w:cs="Arial"/>
        </w:rPr>
        <w:t>nnen weitere Personen ohne Stimmrecht in beobachtender Funktion zum EFV zugelassen werden. Nummer 4.3 letzter Satz gilt entsprechend.</w:t>
      </w:r>
    </w:p>
    <w:p w14:paraId="3325D7A9" w14:textId="77777777" w:rsidR="0030060A" w:rsidRDefault="0030060A">
      <w:pPr>
        <w:pStyle w:val="RVfliesstext175nb"/>
      </w:pPr>
      <w:r>
        <w:rPr>
          <w:rFonts w:cs="Arial"/>
        </w:rPr>
        <w:t xml:space="preserve">4.5 Das EFV besteht aus vier der nachfolgenden </w:t>
      </w:r>
      <w:r>
        <w:rPr>
          <w:rFonts w:cs="Arial"/>
        </w:rPr>
        <w:t>Ü</w:t>
      </w:r>
      <w:r>
        <w:rPr>
          <w:rFonts w:cs="Arial"/>
        </w:rPr>
        <w:t>bungen:</w:t>
      </w:r>
    </w:p>
    <w:p w14:paraId="4DCF3008" w14:textId="77777777" w:rsidR="0030060A" w:rsidRDefault="0030060A">
      <w:pPr>
        <w:pStyle w:val="RVliste3u75nb"/>
        <w:rPr>
          <w:rFonts w:cs="Arial"/>
        </w:rPr>
      </w:pPr>
      <w:r>
        <w:rPr>
          <w:rFonts w:cs="Arial"/>
        </w:rPr>
        <w:t>-</w:t>
      </w:r>
      <w:r>
        <w:rPr>
          <w:rFonts w:cs="Arial"/>
        </w:rPr>
        <w:tab/>
      </w:r>
      <w:r>
        <w:t>Beratungsgespr</w:t>
      </w:r>
      <w:r>
        <w:t>ä</w:t>
      </w:r>
      <w:r>
        <w:t>ch,</w:t>
      </w:r>
    </w:p>
    <w:p w14:paraId="2072813E" w14:textId="77777777" w:rsidR="0030060A" w:rsidRDefault="0030060A">
      <w:pPr>
        <w:pStyle w:val="RVliste3u75nb"/>
      </w:pPr>
      <w:r>
        <w:t>-</w:t>
      </w:r>
      <w:r>
        <w:tab/>
      </w:r>
      <w:r>
        <w:rPr>
          <w:rFonts w:cs="Arial"/>
        </w:rPr>
        <w:t>Beurteilungsgespr</w:t>
      </w:r>
      <w:r>
        <w:rPr>
          <w:rFonts w:cs="Arial"/>
        </w:rPr>
        <w:t>ä</w:t>
      </w:r>
      <w:r>
        <w:rPr>
          <w:rFonts w:cs="Arial"/>
        </w:rPr>
        <w:t>ch,</w:t>
      </w:r>
    </w:p>
    <w:p w14:paraId="63D4F54C" w14:textId="77777777" w:rsidR="0030060A" w:rsidRDefault="0030060A">
      <w:pPr>
        <w:pStyle w:val="RVliste3u75nb"/>
        <w:rPr>
          <w:rFonts w:cs="Arial"/>
        </w:rPr>
      </w:pPr>
      <w:r>
        <w:rPr>
          <w:rFonts w:cs="Arial"/>
        </w:rPr>
        <w:t>-</w:t>
      </w:r>
      <w:r>
        <w:rPr>
          <w:rFonts w:cs="Arial"/>
        </w:rPr>
        <w:tab/>
      </w:r>
      <w:r>
        <w:t>Fallstudie,</w:t>
      </w:r>
    </w:p>
    <w:p w14:paraId="7BD35346" w14:textId="77777777" w:rsidR="0030060A" w:rsidRDefault="0030060A">
      <w:pPr>
        <w:pStyle w:val="RVliste3u75nb"/>
      </w:pPr>
      <w:r>
        <w:t>-</w:t>
      </w:r>
      <w:r>
        <w:tab/>
      </w:r>
      <w:r>
        <w:rPr>
          <w:rFonts w:cs="Arial"/>
        </w:rPr>
        <w:t>Gruppendiskussion,</w:t>
      </w:r>
    </w:p>
    <w:p w14:paraId="752EAF7E" w14:textId="77777777" w:rsidR="0030060A" w:rsidRDefault="0030060A">
      <w:pPr>
        <w:pStyle w:val="RVliste3u75nb"/>
        <w:rPr>
          <w:rFonts w:cs="Arial"/>
        </w:rPr>
      </w:pPr>
      <w:r>
        <w:rPr>
          <w:rFonts w:cs="Arial"/>
        </w:rPr>
        <w:t>-</w:t>
      </w:r>
      <w:r>
        <w:rPr>
          <w:rFonts w:cs="Arial"/>
        </w:rPr>
        <w:tab/>
      </w:r>
      <w:r>
        <w:t>Interview,</w:t>
      </w:r>
    </w:p>
    <w:p w14:paraId="1B0F79C6" w14:textId="77777777" w:rsidR="0030060A" w:rsidRDefault="0030060A">
      <w:pPr>
        <w:pStyle w:val="RVliste3u75nb"/>
      </w:pPr>
      <w:r>
        <w:t>-</w:t>
      </w:r>
      <w:r>
        <w:tab/>
      </w:r>
      <w:r>
        <w:rPr>
          <w:rFonts w:cs="Arial"/>
        </w:rPr>
        <w:t>Konfliktgespr</w:t>
      </w:r>
      <w:r>
        <w:rPr>
          <w:rFonts w:cs="Arial"/>
        </w:rPr>
        <w:t>ä</w:t>
      </w:r>
      <w:r>
        <w:rPr>
          <w:rFonts w:cs="Arial"/>
        </w:rPr>
        <w:t>ch,</w:t>
      </w:r>
    </w:p>
    <w:p w14:paraId="3BBF644A" w14:textId="77777777" w:rsidR="0030060A" w:rsidRDefault="0030060A">
      <w:pPr>
        <w:pStyle w:val="RVliste3u75nb"/>
        <w:rPr>
          <w:rFonts w:cs="Arial"/>
        </w:rPr>
      </w:pPr>
      <w:r>
        <w:rPr>
          <w:rFonts w:cs="Arial"/>
        </w:rPr>
        <w:t>-</w:t>
      </w:r>
      <w:r>
        <w:rPr>
          <w:rFonts w:cs="Arial"/>
        </w:rPr>
        <w:tab/>
      </w:r>
      <w:r>
        <w:t>P</w:t>
      </w:r>
      <w:r>
        <w:t>ä</w:t>
      </w:r>
      <w:r>
        <w:t>dagogische Beurteilung von Unterricht,</w:t>
      </w:r>
    </w:p>
    <w:p w14:paraId="38775009" w14:textId="77777777" w:rsidR="0030060A" w:rsidRDefault="0030060A">
      <w:pPr>
        <w:pStyle w:val="RVliste3u75nb"/>
      </w:pPr>
      <w:r>
        <w:t>-</w:t>
      </w:r>
      <w:r>
        <w:tab/>
      </w:r>
      <w:r>
        <w:rPr>
          <w:rFonts w:cs="Arial"/>
        </w:rPr>
        <w:t>Postkorb,</w:t>
      </w:r>
    </w:p>
    <w:p w14:paraId="54464B5A" w14:textId="77777777" w:rsidR="0030060A" w:rsidRDefault="0030060A">
      <w:pPr>
        <w:pStyle w:val="RVliste3u75nb"/>
        <w:rPr>
          <w:rFonts w:cs="Arial"/>
        </w:rPr>
      </w:pPr>
      <w:r>
        <w:rPr>
          <w:rFonts w:cs="Arial"/>
        </w:rPr>
        <w:t>-</w:t>
      </w:r>
      <w:r>
        <w:rPr>
          <w:rFonts w:cs="Arial"/>
        </w:rPr>
        <w:tab/>
      </w:r>
      <w:r>
        <w:t>Projektplanung.</w:t>
      </w:r>
    </w:p>
    <w:p w14:paraId="27C58C9F" w14:textId="77777777" w:rsidR="0030060A" w:rsidRDefault="0030060A">
      <w:pPr>
        <w:pStyle w:val="RVfliesstext175nb"/>
        <w:rPr>
          <w:rFonts w:cs="Arial"/>
        </w:rPr>
      </w:pPr>
      <w:r>
        <w:t xml:space="preserve">Zu den </w:t>
      </w:r>
      <w:r>
        <w:t>Ü</w:t>
      </w:r>
      <w:r>
        <w:t xml:space="preserve">bungen entwickelt die QUA-LiS NRW in Zusammenarbeit mit den Bezirksregierungen </w:t>
      </w:r>
      <w:r>
        <w:t>Ü</w:t>
      </w:r>
      <w:r>
        <w:t>bungsaufgaben aus dem T</w:t>
      </w:r>
      <w:r>
        <w:t>ä</w:t>
      </w:r>
      <w:r>
        <w:t xml:space="preserve">tigkeitsbereich von Schulleiterinnen und Schulleitern. In jeder </w:t>
      </w:r>
      <w:r>
        <w:t>Ü</w:t>
      </w:r>
      <w:r>
        <w:t>bungsaufgabe m</w:t>
      </w:r>
      <w:r>
        <w:t>ü</w:t>
      </w:r>
      <w:r>
        <w:t>ssen zwei der folgenden Leitungskompetenzen der Teilnehmenden beobachtet werden: Kommunikation, Rollenklarheit, Innovation und Management (Steuerung, Entscheidung, Planung und Organisation). Die Beschreibung des beobachtbaren Verhaltens und die Erhebung von individuellen Auspr</w:t>
      </w:r>
      <w:r>
        <w:t>ä</w:t>
      </w:r>
      <w:r>
        <w:t>gungen der Kompetenzen erfolgen nach kompetenzspezifischen Kriterien. Die Kriterien werden evaluiert und bei Bedarf angepasst.</w:t>
      </w:r>
    </w:p>
    <w:p w14:paraId="60B069D4" w14:textId="77777777" w:rsidR="0030060A" w:rsidRDefault="0030060A">
      <w:pPr>
        <w:pStyle w:val="RVfliesstext175nb"/>
        <w:rPr>
          <w:rFonts w:cs="Arial"/>
        </w:rPr>
      </w:pPr>
      <w:r>
        <w:t xml:space="preserve">4.6 Die </w:t>
      </w:r>
      <w:r>
        <w:t>Ü</w:t>
      </w:r>
      <w:r>
        <w:t>bungsaufgaben f</w:t>
      </w:r>
      <w:r>
        <w:t>ü</w:t>
      </w:r>
      <w:r>
        <w:t>r das jeweilige EFV werden von der QUA-LiS NRW im Auftrag des Ministeriums f</w:t>
      </w:r>
      <w:r>
        <w:t>ü</w:t>
      </w:r>
      <w:r>
        <w:t>r Schule und Weiterbildung bereitgestellt. Die Beobachterinnen und Beobachter werden vor Beginn des EFV von der QUA-LiS NRW in einer gemeinsamen Sitzung mit den gem</w:t>
      </w:r>
      <w:r>
        <w:t>äß</w:t>
      </w:r>
      <w:r>
        <w:t xml:space="preserve"> Nummer 4.4 benannten Personen auf die </w:t>
      </w:r>
      <w:r>
        <w:t>Ü</w:t>
      </w:r>
      <w:r>
        <w:t>bungsaufgaben vorbereitet. Die schulfachliche Gleichstellungsbeauftragte nimmt an dieser Sitzung gem</w:t>
      </w:r>
      <w:r>
        <w:t>äß</w:t>
      </w:r>
      <w:r>
        <w:t xml:space="preserve"> </w:t>
      </w:r>
      <w:r>
        <w:t>§</w:t>
      </w:r>
      <w:r>
        <w:t xml:space="preserve"> 17 Absatz 1 Nummer 1 zweiter Halbsatz LGG teil.</w:t>
      </w:r>
    </w:p>
    <w:p w14:paraId="6AD8E173" w14:textId="77777777" w:rsidR="0030060A" w:rsidRDefault="0030060A">
      <w:pPr>
        <w:pStyle w:val="RVfliesstext175nb"/>
        <w:rPr>
          <w:rFonts w:cs="Arial"/>
        </w:rPr>
      </w:pPr>
      <w:r>
        <w:t xml:space="preserve">4.7 Jede Leitungskompetenz (Nummer 4.5) wird in zwei unterschiedlichen </w:t>
      </w:r>
      <w:r>
        <w:t>Ü</w:t>
      </w:r>
      <w:r>
        <w:t>bungsaufgaben von jeweils zwei Beobachterinnen oder Beobachtern anhand der kompetenzspezifischen Kriterien bewertet. Die Beobachterinnen und Beobachter wechseln sich in einem rollierenden System ab. Die Teilnehmenden f</w:t>
      </w:r>
      <w:r>
        <w:t>ü</w:t>
      </w:r>
      <w:r>
        <w:t xml:space="preserve">hren die </w:t>
      </w:r>
      <w:r>
        <w:t>Ü</w:t>
      </w:r>
      <w:r>
        <w:t>bungsaufgaben einzeln oder in Gruppen aus. Im Anschluss daran bewertet jede Beobachterin und jeder Beobachter auf einem Bewertungsbogen die individuelle Erf</w:t>
      </w:r>
      <w:r>
        <w:t>ü</w:t>
      </w:r>
      <w:r>
        <w:t>llung der Kriterien f</w:t>
      </w:r>
      <w:r>
        <w:t>ü</w:t>
      </w:r>
      <w:r>
        <w:t>r die entsprechenden Leitungskompetenzen einzeln wie folgt: gut erf</w:t>
      </w:r>
      <w:r>
        <w:t>ü</w:t>
      </w:r>
      <w:r>
        <w:t>llt, erf</w:t>
      </w:r>
      <w:r>
        <w:t>ü</w:t>
      </w:r>
      <w:r>
        <w:t>llt, zum Teil erf</w:t>
      </w:r>
      <w:r>
        <w:t>ü</w:t>
      </w:r>
      <w:r>
        <w:t>llt, nicht erf</w:t>
      </w:r>
      <w:r>
        <w:t>ü</w:t>
      </w:r>
      <w:r>
        <w:t>llt.</w:t>
      </w:r>
    </w:p>
    <w:p w14:paraId="1D4DE726" w14:textId="77777777" w:rsidR="0030060A" w:rsidRDefault="0030060A">
      <w:pPr>
        <w:pStyle w:val="RVfliesstext175nb"/>
        <w:rPr>
          <w:rFonts w:cs="Arial"/>
        </w:rPr>
      </w:pPr>
      <w:r>
        <w:t xml:space="preserve">Die Beobachterinnen und Beobachter tauschen sich </w:t>
      </w:r>
      <w:r>
        <w:t>ü</w:t>
      </w:r>
      <w:r>
        <w:t xml:space="preserve">ber ihre Bewertungen aus. </w:t>
      </w:r>
      <w:r>
        <w:t>Ä</w:t>
      </w:r>
      <w:r>
        <w:t>nderungen der Bewertung werden von der Beobachterin oder dem Beobachter auf dem Bewertungsbogen vermerkt und paraphiert. Danach werden die Bewertungsb</w:t>
      </w:r>
      <w:r>
        <w:t>ö</w:t>
      </w:r>
      <w:r>
        <w:t>gen von der QUA-LiS NRW zentral erfasst und ausgewertet.</w:t>
      </w:r>
    </w:p>
    <w:p w14:paraId="50A965B6" w14:textId="77777777" w:rsidR="0030060A" w:rsidRDefault="0030060A">
      <w:pPr>
        <w:pStyle w:val="RVfliesstext175nb"/>
        <w:rPr>
          <w:rFonts w:cs="Arial"/>
        </w:rPr>
      </w:pPr>
      <w:r>
        <w:t>4.8 Durch Ausz</w:t>
      </w:r>
      <w:r>
        <w:t>ä</w:t>
      </w:r>
      <w:r>
        <w:t>hlen der Einzelbewertungen der Beobachterin oder des Beobachters wird f</w:t>
      </w:r>
      <w:r>
        <w:t>ü</w:t>
      </w:r>
      <w:r>
        <w:t>r jede Leitungskompetenz einer der nachfolgenden Punktwerte ermittelt:</w:t>
      </w:r>
    </w:p>
    <w:p w14:paraId="0DAFC6D8" w14:textId="77777777" w:rsidR="0030060A" w:rsidRDefault="0030060A">
      <w:pPr>
        <w:pStyle w:val="RVfliesstext175nb"/>
        <w:rPr>
          <w:rFonts w:cs="Arial"/>
        </w:rPr>
      </w:pPr>
      <w:r>
        <w:t xml:space="preserve">Die </w:t>
      </w:r>
      <w:r>
        <w:t>ü</w:t>
      </w:r>
      <w:r>
        <w:t xml:space="preserve">berwiegende Zahl der Kriterien wurde mit </w:t>
      </w:r>
      <w:r>
        <w:t>„</w:t>
      </w:r>
      <w:r>
        <w:t>gut erf</w:t>
      </w:r>
      <w:r>
        <w:t>ü</w:t>
      </w:r>
      <w:r>
        <w:t>llt</w:t>
      </w:r>
      <w:r>
        <w:t>“</w:t>
      </w:r>
      <w:r>
        <w:t xml:space="preserve"> bewertet: 4 Punkte.</w:t>
      </w:r>
    </w:p>
    <w:p w14:paraId="2B6C0A23" w14:textId="77777777" w:rsidR="0030060A" w:rsidRDefault="0030060A">
      <w:pPr>
        <w:pStyle w:val="RVfliesstext175nb"/>
        <w:rPr>
          <w:rFonts w:cs="Arial"/>
        </w:rPr>
      </w:pPr>
      <w:r>
        <w:t xml:space="preserve">Die </w:t>
      </w:r>
      <w:r>
        <w:t>ü</w:t>
      </w:r>
      <w:r>
        <w:t xml:space="preserve">berwiegende Zahl der Kriterien wurde mindestens mit </w:t>
      </w:r>
      <w:r>
        <w:t>„</w:t>
      </w:r>
      <w:r>
        <w:t>erf</w:t>
      </w:r>
      <w:r>
        <w:t>ü</w:t>
      </w:r>
      <w:r>
        <w:t>llt</w:t>
      </w:r>
      <w:r>
        <w:t>“</w:t>
      </w:r>
      <w:r>
        <w:t xml:space="preserve"> bewertet: 3 Punkte.</w:t>
      </w:r>
    </w:p>
    <w:p w14:paraId="6ACDA6FF" w14:textId="77777777" w:rsidR="0030060A" w:rsidRDefault="0030060A">
      <w:pPr>
        <w:pStyle w:val="RVfliesstext175nb"/>
        <w:rPr>
          <w:rFonts w:cs="Arial"/>
        </w:rPr>
      </w:pPr>
      <w:r>
        <w:t>Mindestens die H</w:t>
      </w:r>
      <w:r>
        <w:t>ä</w:t>
      </w:r>
      <w:r>
        <w:t xml:space="preserve">lfte der Kriterien wurde nicht besser als mit </w:t>
      </w:r>
      <w:r>
        <w:t>„</w:t>
      </w:r>
      <w:r>
        <w:t>zum Teil erf</w:t>
      </w:r>
      <w:r>
        <w:t>ü</w:t>
      </w:r>
      <w:r>
        <w:t>llt</w:t>
      </w:r>
      <w:r>
        <w:t>“</w:t>
      </w:r>
      <w:r>
        <w:t xml:space="preserve"> bewertet: 2 Punkte.</w:t>
      </w:r>
    </w:p>
    <w:p w14:paraId="6E8C6D02" w14:textId="77777777" w:rsidR="0030060A" w:rsidRDefault="0030060A">
      <w:pPr>
        <w:pStyle w:val="RVfliesstext175nb"/>
        <w:rPr>
          <w:rFonts w:cs="Arial"/>
        </w:rPr>
      </w:pPr>
      <w:r>
        <w:t xml:space="preserve">Die </w:t>
      </w:r>
      <w:r>
        <w:t>ü</w:t>
      </w:r>
      <w:r>
        <w:t xml:space="preserve">berwiegende Zahl der Kriterien wurde mit </w:t>
      </w:r>
      <w:r>
        <w:t>„</w:t>
      </w:r>
      <w:r>
        <w:t>nicht erf</w:t>
      </w:r>
      <w:r>
        <w:t>ü</w:t>
      </w:r>
      <w:r>
        <w:t>llt</w:t>
      </w:r>
      <w:r>
        <w:t>“</w:t>
      </w:r>
      <w:r>
        <w:t xml:space="preserve"> bewertet: 1 Punkt.</w:t>
      </w:r>
    </w:p>
    <w:p w14:paraId="1C3EE6FB" w14:textId="77777777" w:rsidR="0030060A" w:rsidRDefault="0030060A">
      <w:pPr>
        <w:pStyle w:val="RVfliesstext175nb"/>
        <w:rPr>
          <w:rFonts w:cs="Arial"/>
        </w:rPr>
      </w:pPr>
      <w:r>
        <w:t>Die f</w:t>
      </w:r>
      <w:r>
        <w:t>ü</w:t>
      </w:r>
      <w:r>
        <w:t>r dieselbe Leitungskompetenz vergebenen Punktwerte werden zur Kompetenzbewertung addiert. Durch Addition der Kompetenzbewertungen ergibt sich der Gesamtpunktwert der folgenden Tabelle: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20" w:type="dxa"/>
          <w:right w:w="40" w:type="dxa"/>
        </w:tblCellMar>
        <w:tblLook w:val="0000" w:firstRow="0" w:lastRow="0" w:firstColumn="0" w:lastColumn="0" w:noHBand="0" w:noVBand="0"/>
      </w:tblPr>
      <w:tblGrid>
        <w:gridCol w:w="1084"/>
        <w:gridCol w:w="729"/>
        <w:gridCol w:w="728"/>
        <w:gridCol w:w="728"/>
        <w:gridCol w:w="728"/>
        <w:gridCol w:w="968"/>
      </w:tblGrid>
      <w:tr w:rsidR="00000000" w14:paraId="2D667515" w14:textId="77777777">
        <w:trPr>
          <w:tblHeader/>
        </w:trPr>
        <w:tc>
          <w:tcPr>
            <w:tcW w:w="4881" w:type="dxa"/>
            <w:gridSpan w:val="6"/>
            <w:tcMar>
              <w:top w:w="20" w:type="dxa"/>
              <w:left w:w="40" w:type="dxa"/>
              <w:bottom w:w="60" w:type="dxa"/>
              <w:right w:w="40" w:type="dxa"/>
            </w:tcMar>
            <w:vAlign w:val="center"/>
          </w:tcPr>
          <w:p w14:paraId="342FEB66" w14:textId="77777777" w:rsidR="0030060A" w:rsidRDefault="0030060A">
            <w:pPr>
              <w:pStyle w:val="RVtabellenfcberschrift"/>
              <w:keepLines/>
            </w:pPr>
            <w:r>
              <w:rPr>
                <w:rFonts w:cs="Calibri"/>
              </w:rPr>
              <w:t>Bewertung der Leitungskompetenzen</w:t>
            </w:r>
          </w:p>
        </w:tc>
      </w:tr>
      <w:tr w:rsidR="00000000" w14:paraId="3EFDB102" w14:textId="77777777">
        <w:tc>
          <w:tcPr>
            <w:tcW w:w="1065" w:type="dxa"/>
            <w:vMerge w:val="restart"/>
            <w:tcMar>
              <w:top w:w="20" w:type="dxa"/>
              <w:left w:w="40" w:type="dxa"/>
              <w:bottom w:w="20" w:type="dxa"/>
              <w:right w:w="40" w:type="dxa"/>
            </w:tcMar>
          </w:tcPr>
          <w:p w14:paraId="4EA675FA" w14:textId="77777777" w:rsidR="0030060A" w:rsidRDefault="0030060A">
            <w:pPr>
              <w:pStyle w:val="RVfliesstext175fl"/>
              <w:rPr>
                <w:rFonts w:cs="Arial"/>
              </w:rPr>
            </w:pPr>
            <w:r>
              <w:t>Leitungs-kompetenz</w:t>
            </w:r>
          </w:p>
        </w:tc>
        <w:tc>
          <w:tcPr>
            <w:tcW w:w="1432" w:type="dxa"/>
            <w:gridSpan w:val="2"/>
            <w:tcMar>
              <w:top w:w="20" w:type="dxa"/>
              <w:left w:w="40" w:type="dxa"/>
              <w:bottom w:w="20" w:type="dxa"/>
              <w:right w:w="40" w:type="dxa"/>
            </w:tcMar>
          </w:tcPr>
          <w:p w14:paraId="6308DF5F" w14:textId="77777777" w:rsidR="0030060A" w:rsidRDefault="0030060A">
            <w:pPr>
              <w:pStyle w:val="RVfliesstext175fl"/>
              <w:rPr>
                <w:rFonts w:cs="Arial"/>
              </w:rPr>
            </w:pPr>
            <w:r>
              <w:t xml:space="preserve">1. </w:t>
            </w:r>
            <w:r>
              <w:t>Ü</w:t>
            </w:r>
            <w:r>
              <w:t>bungsaufgabe</w:t>
            </w:r>
          </w:p>
        </w:tc>
        <w:tc>
          <w:tcPr>
            <w:tcW w:w="1432" w:type="dxa"/>
            <w:gridSpan w:val="2"/>
            <w:tcMar>
              <w:top w:w="20" w:type="dxa"/>
              <w:left w:w="40" w:type="dxa"/>
              <w:bottom w:w="20" w:type="dxa"/>
              <w:right w:w="40" w:type="dxa"/>
            </w:tcMar>
          </w:tcPr>
          <w:p w14:paraId="666E1A66" w14:textId="77777777" w:rsidR="0030060A" w:rsidRDefault="0030060A">
            <w:pPr>
              <w:pStyle w:val="RVfliesstext175fl"/>
              <w:rPr>
                <w:rFonts w:cs="Arial"/>
              </w:rPr>
            </w:pPr>
            <w:r>
              <w:t xml:space="preserve">2. </w:t>
            </w:r>
            <w:r>
              <w:t>Ü</w:t>
            </w:r>
            <w:r>
              <w:t>bungsaufgabe</w:t>
            </w:r>
          </w:p>
        </w:tc>
        <w:tc>
          <w:tcPr>
            <w:tcW w:w="952" w:type="dxa"/>
            <w:tcMar>
              <w:top w:w="20" w:type="dxa"/>
              <w:left w:w="40" w:type="dxa"/>
              <w:bottom w:w="20" w:type="dxa"/>
              <w:right w:w="40" w:type="dxa"/>
            </w:tcMar>
          </w:tcPr>
          <w:p w14:paraId="28F7A18F" w14:textId="77777777" w:rsidR="0030060A" w:rsidRDefault="0030060A">
            <w:pPr>
              <w:pStyle w:val="RVfliesstext175fl"/>
              <w:rPr>
                <w:rFonts w:cs="Arial"/>
              </w:rPr>
            </w:pPr>
            <w:r>
              <w:t>Kompetenzbewertung</w:t>
            </w:r>
          </w:p>
        </w:tc>
      </w:tr>
      <w:tr w:rsidR="00000000" w14:paraId="2B51545A" w14:textId="77777777">
        <w:tc>
          <w:tcPr>
            <w:tcW w:w="1065" w:type="dxa"/>
            <w:vMerge/>
            <w:tcMar>
              <w:top w:w="20" w:type="dxa"/>
              <w:left w:w="40" w:type="dxa"/>
              <w:bottom w:w="20" w:type="dxa"/>
              <w:right w:w="40" w:type="dxa"/>
            </w:tcMar>
          </w:tcPr>
          <w:p w14:paraId="257C6D33" w14:textId="77777777" w:rsidR="0030060A" w:rsidRDefault="0030060A">
            <w:pPr>
              <w:pStyle w:val="RVfliesstext175fl"/>
              <w:jc w:val="both"/>
            </w:pPr>
          </w:p>
        </w:tc>
        <w:tc>
          <w:tcPr>
            <w:tcW w:w="716" w:type="dxa"/>
            <w:tcMar>
              <w:top w:w="20" w:type="dxa"/>
              <w:left w:w="40" w:type="dxa"/>
              <w:bottom w:w="20" w:type="dxa"/>
              <w:right w:w="40" w:type="dxa"/>
            </w:tcMar>
          </w:tcPr>
          <w:p w14:paraId="3175FE57" w14:textId="77777777" w:rsidR="0030060A" w:rsidRDefault="0030060A">
            <w:pPr>
              <w:pStyle w:val="RVfliesstext175nl"/>
              <w:rPr>
                <w:rFonts w:cs="Calibri"/>
              </w:rPr>
            </w:pPr>
            <w:r>
              <w:t>Punktwert 1. Beobachter/in</w:t>
            </w:r>
            <w:r>
              <w:tab/>
            </w:r>
          </w:p>
        </w:tc>
        <w:tc>
          <w:tcPr>
            <w:tcW w:w="716" w:type="dxa"/>
            <w:tcMar>
              <w:top w:w="20" w:type="dxa"/>
              <w:left w:w="40" w:type="dxa"/>
              <w:bottom w:w="20" w:type="dxa"/>
              <w:right w:w="40" w:type="dxa"/>
            </w:tcMar>
          </w:tcPr>
          <w:p w14:paraId="16AB2E05" w14:textId="77777777" w:rsidR="0030060A" w:rsidRDefault="0030060A">
            <w:pPr>
              <w:pStyle w:val="RVfliesstext175nl"/>
              <w:rPr>
                <w:rFonts w:cs="Calibri"/>
              </w:rPr>
            </w:pPr>
            <w:r>
              <w:t>Punktwert 2. Beobachter/in</w:t>
            </w:r>
          </w:p>
        </w:tc>
        <w:tc>
          <w:tcPr>
            <w:tcW w:w="716" w:type="dxa"/>
            <w:tcMar>
              <w:top w:w="20" w:type="dxa"/>
              <w:left w:w="40" w:type="dxa"/>
              <w:bottom w:w="20" w:type="dxa"/>
              <w:right w:w="40" w:type="dxa"/>
            </w:tcMar>
          </w:tcPr>
          <w:p w14:paraId="40112433" w14:textId="77777777" w:rsidR="0030060A" w:rsidRDefault="0030060A">
            <w:pPr>
              <w:pStyle w:val="RVfliesstext175nl"/>
              <w:rPr>
                <w:rFonts w:cs="Calibri"/>
              </w:rPr>
            </w:pPr>
            <w:r>
              <w:t>Punktwert 1. Beobachter/in</w:t>
            </w:r>
          </w:p>
        </w:tc>
        <w:tc>
          <w:tcPr>
            <w:tcW w:w="716" w:type="dxa"/>
            <w:tcMar>
              <w:top w:w="20" w:type="dxa"/>
              <w:left w:w="40" w:type="dxa"/>
              <w:bottom w:w="20" w:type="dxa"/>
              <w:right w:w="40" w:type="dxa"/>
            </w:tcMar>
          </w:tcPr>
          <w:p w14:paraId="6CA67CB6" w14:textId="77777777" w:rsidR="0030060A" w:rsidRDefault="0030060A">
            <w:pPr>
              <w:pStyle w:val="RVfliesstext175nl"/>
              <w:rPr>
                <w:rFonts w:cs="Calibri"/>
              </w:rPr>
            </w:pPr>
            <w:r>
              <w:t>Punktwert 2. Beobachter/in</w:t>
            </w:r>
          </w:p>
        </w:tc>
        <w:tc>
          <w:tcPr>
            <w:tcW w:w="952" w:type="dxa"/>
            <w:tcMar>
              <w:top w:w="20" w:type="dxa"/>
              <w:left w:w="40" w:type="dxa"/>
              <w:bottom w:w="20" w:type="dxa"/>
              <w:right w:w="40" w:type="dxa"/>
            </w:tcMar>
          </w:tcPr>
          <w:p w14:paraId="4A0B3732" w14:textId="77777777" w:rsidR="0030060A" w:rsidRDefault="0030060A">
            <w:pPr>
              <w:pStyle w:val="RVfliesstext175nl"/>
            </w:pPr>
          </w:p>
        </w:tc>
      </w:tr>
      <w:tr w:rsidR="00000000" w14:paraId="70D3742D" w14:textId="77777777">
        <w:tc>
          <w:tcPr>
            <w:tcW w:w="1065" w:type="dxa"/>
            <w:tcMar>
              <w:top w:w="20" w:type="dxa"/>
              <w:left w:w="40" w:type="dxa"/>
              <w:bottom w:w="20" w:type="dxa"/>
              <w:right w:w="40" w:type="dxa"/>
            </w:tcMar>
          </w:tcPr>
          <w:p w14:paraId="6A1DDCB4" w14:textId="77777777" w:rsidR="0030060A" w:rsidRDefault="0030060A">
            <w:pPr>
              <w:pStyle w:val="RVfliesstext175nl"/>
            </w:pPr>
            <w:r>
              <w:rPr>
                <w:rFonts w:cs="Calibri"/>
              </w:rPr>
              <w:t>Kommunikation</w:t>
            </w:r>
          </w:p>
        </w:tc>
        <w:tc>
          <w:tcPr>
            <w:tcW w:w="716" w:type="dxa"/>
            <w:tcMar>
              <w:top w:w="20" w:type="dxa"/>
              <w:left w:w="40" w:type="dxa"/>
              <w:bottom w:w="20" w:type="dxa"/>
              <w:right w:w="40" w:type="dxa"/>
            </w:tcMar>
          </w:tcPr>
          <w:p w14:paraId="16A8E7B2" w14:textId="77777777" w:rsidR="0030060A" w:rsidRDefault="0030060A">
            <w:pPr>
              <w:pStyle w:val="RVtabelle75nz"/>
              <w:widowControl/>
            </w:pPr>
            <w:r>
              <w:rPr>
                <w:rFonts w:cs="Calibri"/>
              </w:rPr>
              <w:t>1-4</w:t>
            </w:r>
          </w:p>
        </w:tc>
        <w:tc>
          <w:tcPr>
            <w:tcW w:w="716" w:type="dxa"/>
            <w:tcMar>
              <w:top w:w="20" w:type="dxa"/>
              <w:left w:w="40" w:type="dxa"/>
              <w:bottom w:w="20" w:type="dxa"/>
              <w:right w:w="40" w:type="dxa"/>
            </w:tcMar>
          </w:tcPr>
          <w:p w14:paraId="68CD4644" w14:textId="77777777" w:rsidR="0030060A" w:rsidRDefault="0030060A">
            <w:pPr>
              <w:pStyle w:val="RVtabelle75nz"/>
              <w:widowControl/>
            </w:pPr>
            <w:r>
              <w:rPr>
                <w:rFonts w:cs="Calibri"/>
              </w:rPr>
              <w:t>1-4</w:t>
            </w:r>
          </w:p>
        </w:tc>
        <w:tc>
          <w:tcPr>
            <w:tcW w:w="716" w:type="dxa"/>
            <w:tcMar>
              <w:top w:w="20" w:type="dxa"/>
              <w:left w:w="40" w:type="dxa"/>
              <w:bottom w:w="20" w:type="dxa"/>
              <w:right w:w="40" w:type="dxa"/>
            </w:tcMar>
          </w:tcPr>
          <w:p w14:paraId="260D9E28" w14:textId="77777777" w:rsidR="0030060A" w:rsidRDefault="0030060A">
            <w:pPr>
              <w:pStyle w:val="RVtabelle75nz"/>
              <w:widowControl/>
            </w:pPr>
            <w:r>
              <w:rPr>
                <w:rFonts w:cs="Calibri"/>
              </w:rPr>
              <w:t>1-4</w:t>
            </w:r>
          </w:p>
        </w:tc>
        <w:tc>
          <w:tcPr>
            <w:tcW w:w="716" w:type="dxa"/>
            <w:tcMar>
              <w:top w:w="20" w:type="dxa"/>
              <w:left w:w="40" w:type="dxa"/>
              <w:bottom w:w="20" w:type="dxa"/>
              <w:right w:w="40" w:type="dxa"/>
            </w:tcMar>
          </w:tcPr>
          <w:p w14:paraId="73793D3E" w14:textId="77777777" w:rsidR="0030060A" w:rsidRDefault="0030060A">
            <w:pPr>
              <w:pStyle w:val="RVtabelle75nz"/>
              <w:widowControl/>
            </w:pPr>
            <w:r>
              <w:rPr>
                <w:rFonts w:cs="Calibri"/>
              </w:rPr>
              <w:t>1-4</w:t>
            </w:r>
          </w:p>
        </w:tc>
        <w:tc>
          <w:tcPr>
            <w:tcW w:w="952" w:type="dxa"/>
            <w:tcMar>
              <w:top w:w="20" w:type="dxa"/>
              <w:left w:w="40" w:type="dxa"/>
              <w:bottom w:w="20" w:type="dxa"/>
              <w:right w:w="40" w:type="dxa"/>
            </w:tcMar>
          </w:tcPr>
          <w:p w14:paraId="0D2F7620" w14:textId="77777777" w:rsidR="0030060A" w:rsidRDefault="0030060A">
            <w:pPr>
              <w:pStyle w:val="RVtabelle75nz"/>
              <w:widowControl/>
            </w:pPr>
            <w:r>
              <w:rPr>
                <w:rFonts w:cs="Calibri"/>
              </w:rPr>
              <w:t xml:space="preserve"> 4-16</w:t>
            </w:r>
          </w:p>
        </w:tc>
      </w:tr>
      <w:tr w:rsidR="00000000" w14:paraId="724B4009" w14:textId="77777777">
        <w:tc>
          <w:tcPr>
            <w:tcW w:w="1065" w:type="dxa"/>
            <w:tcMar>
              <w:top w:w="20" w:type="dxa"/>
              <w:left w:w="40" w:type="dxa"/>
              <w:bottom w:w="20" w:type="dxa"/>
              <w:right w:w="40" w:type="dxa"/>
            </w:tcMar>
          </w:tcPr>
          <w:p w14:paraId="7B1CD848" w14:textId="77777777" w:rsidR="0030060A" w:rsidRDefault="0030060A">
            <w:pPr>
              <w:pStyle w:val="RVfliesstext175nl"/>
            </w:pPr>
            <w:r>
              <w:rPr>
                <w:rFonts w:cs="Calibri"/>
              </w:rPr>
              <w:t>Rollenklarheit</w:t>
            </w:r>
          </w:p>
        </w:tc>
        <w:tc>
          <w:tcPr>
            <w:tcW w:w="716" w:type="dxa"/>
            <w:tcMar>
              <w:top w:w="20" w:type="dxa"/>
              <w:left w:w="40" w:type="dxa"/>
              <w:bottom w:w="20" w:type="dxa"/>
              <w:right w:w="40" w:type="dxa"/>
            </w:tcMar>
          </w:tcPr>
          <w:p w14:paraId="1CA23EC4" w14:textId="77777777" w:rsidR="0030060A" w:rsidRDefault="0030060A">
            <w:pPr>
              <w:pStyle w:val="RVtabelle75nz"/>
              <w:widowControl/>
            </w:pPr>
            <w:r>
              <w:rPr>
                <w:rFonts w:cs="Calibri"/>
              </w:rPr>
              <w:t>1-4</w:t>
            </w:r>
          </w:p>
        </w:tc>
        <w:tc>
          <w:tcPr>
            <w:tcW w:w="716" w:type="dxa"/>
            <w:tcMar>
              <w:top w:w="20" w:type="dxa"/>
              <w:left w:w="40" w:type="dxa"/>
              <w:bottom w:w="20" w:type="dxa"/>
              <w:right w:w="40" w:type="dxa"/>
            </w:tcMar>
          </w:tcPr>
          <w:p w14:paraId="174E9B61" w14:textId="77777777" w:rsidR="0030060A" w:rsidRDefault="0030060A">
            <w:pPr>
              <w:pStyle w:val="RVtabelle75nz"/>
              <w:widowControl/>
            </w:pPr>
            <w:r>
              <w:rPr>
                <w:rFonts w:cs="Calibri"/>
              </w:rPr>
              <w:t>1-4</w:t>
            </w:r>
          </w:p>
        </w:tc>
        <w:tc>
          <w:tcPr>
            <w:tcW w:w="716" w:type="dxa"/>
            <w:tcMar>
              <w:top w:w="20" w:type="dxa"/>
              <w:left w:w="40" w:type="dxa"/>
              <w:bottom w:w="20" w:type="dxa"/>
              <w:right w:w="40" w:type="dxa"/>
            </w:tcMar>
          </w:tcPr>
          <w:p w14:paraId="3DAB983A" w14:textId="77777777" w:rsidR="0030060A" w:rsidRDefault="0030060A">
            <w:pPr>
              <w:pStyle w:val="RVtabelle75nz"/>
              <w:widowControl/>
            </w:pPr>
            <w:r>
              <w:rPr>
                <w:rFonts w:cs="Calibri"/>
              </w:rPr>
              <w:t>1-4</w:t>
            </w:r>
          </w:p>
        </w:tc>
        <w:tc>
          <w:tcPr>
            <w:tcW w:w="716" w:type="dxa"/>
            <w:tcMar>
              <w:top w:w="20" w:type="dxa"/>
              <w:left w:w="40" w:type="dxa"/>
              <w:bottom w:w="20" w:type="dxa"/>
              <w:right w:w="40" w:type="dxa"/>
            </w:tcMar>
          </w:tcPr>
          <w:p w14:paraId="7AFBC78D" w14:textId="77777777" w:rsidR="0030060A" w:rsidRDefault="0030060A">
            <w:pPr>
              <w:pStyle w:val="RVtabelle75nz"/>
              <w:widowControl/>
            </w:pPr>
            <w:r>
              <w:rPr>
                <w:rFonts w:cs="Calibri"/>
              </w:rPr>
              <w:t>1-4</w:t>
            </w:r>
          </w:p>
        </w:tc>
        <w:tc>
          <w:tcPr>
            <w:tcW w:w="952" w:type="dxa"/>
            <w:tcMar>
              <w:top w:w="20" w:type="dxa"/>
              <w:left w:w="40" w:type="dxa"/>
              <w:bottom w:w="20" w:type="dxa"/>
              <w:right w:w="40" w:type="dxa"/>
            </w:tcMar>
          </w:tcPr>
          <w:p w14:paraId="28236E4D" w14:textId="77777777" w:rsidR="0030060A" w:rsidRDefault="0030060A">
            <w:pPr>
              <w:pStyle w:val="RVtabelle75nz"/>
              <w:widowControl/>
            </w:pPr>
            <w:r>
              <w:rPr>
                <w:rFonts w:cs="Calibri"/>
              </w:rPr>
              <w:t xml:space="preserve"> 4-16</w:t>
            </w:r>
          </w:p>
        </w:tc>
      </w:tr>
      <w:tr w:rsidR="00000000" w14:paraId="6691E3BB" w14:textId="77777777">
        <w:tc>
          <w:tcPr>
            <w:tcW w:w="1065" w:type="dxa"/>
            <w:tcMar>
              <w:top w:w="20" w:type="dxa"/>
              <w:left w:w="40" w:type="dxa"/>
              <w:bottom w:w="20" w:type="dxa"/>
              <w:right w:w="40" w:type="dxa"/>
            </w:tcMar>
          </w:tcPr>
          <w:p w14:paraId="4BE47EB9" w14:textId="77777777" w:rsidR="0030060A" w:rsidRDefault="0030060A">
            <w:pPr>
              <w:pStyle w:val="RVfliesstext175nl"/>
            </w:pPr>
            <w:r>
              <w:rPr>
                <w:rFonts w:cs="Calibri"/>
              </w:rPr>
              <w:t>Innovation</w:t>
            </w:r>
          </w:p>
        </w:tc>
        <w:tc>
          <w:tcPr>
            <w:tcW w:w="716" w:type="dxa"/>
            <w:tcMar>
              <w:top w:w="20" w:type="dxa"/>
              <w:left w:w="40" w:type="dxa"/>
              <w:bottom w:w="20" w:type="dxa"/>
              <w:right w:w="40" w:type="dxa"/>
            </w:tcMar>
          </w:tcPr>
          <w:p w14:paraId="17DE56F3" w14:textId="77777777" w:rsidR="0030060A" w:rsidRDefault="0030060A">
            <w:pPr>
              <w:pStyle w:val="RVtabelle75nz"/>
              <w:widowControl/>
            </w:pPr>
            <w:r>
              <w:rPr>
                <w:rFonts w:cs="Calibri"/>
              </w:rPr>
              <w:t>1-4</w:t>
            </w:r>
          </w:p>
        </w:tc>
        <w:tc>
          <w:tcPr>
            <w:tcW w:w="716" w:type="dxa"/>
            <w:tcMar>
              <w:top w:w="20" w:type="dxa"/>
              <w:left w:w="40" w:type="dxa"/>
              <w:bottom w:w="20" w:type="dxa"/>
              <w:right w:w="40" w:type="dxa"/>
            </w:tcMar>
          </w:tcPr>
          <w:p w14:paraId="47BA76A7" w14:textId="77777777" w:rsidR="0030060A" w:rsidRDefault="0030060A">
            <w:pPr>
              <w:pStyle w:val="RVtabelle75nz"/>
              <w:widowControl/>
            </w:pPr>
            <w:r>
              <w:rPr>
                <w:rFonts w:cs="Calibri"/>
              </w:rPr>
              <w:t>1-4</w:t>
            </w:r>
          </w:p>
        </w:tc>
        <w:tc>
          <w:tcPr>
            <w:tcW w:w="716" w:type="dxa"/>
            <w:tcMar>
              <w:top w:w="20" w:type="dxa"/>
              <w:left w:w="40" w:type="dxa"/>
              <w:bottom w:w="20" w:type="dxa"/>
              <w:right w:w="40" w:type="dxa"/>
            </w:tcMar>
          </w:tcPr>
          <w:p w14:paraId="5766BE5B" w14:textId="77777777" w:rsidR="0030060A" w:rsidRDefault="0030060A">
            <w:pPr>
              <w:pStyle w:val="RVtabelle75nz"/>
              <w:widowControl/>
            </w:pPr>
            <w:r>
              <w:rPr>
                <w:rFonts w:cs="Calibri"/>
              </w:rPr>
              <w:t>1-4</w:t>
            </w:r>
          </w:p>
        </w:tc>
        <w:tc>
          <w:tcPr>
            <w:tcW w:w="716" w:type="dxa"/>
            <w:tcMar>
              <w:top w:w="20" w:type="dxa"/>
              <w:left w:w="40" w:type="dxa"/>
              <w:bottom w:w="20" w:type="dxa"/>
              <w:right w:w="40" w:type="dxa"/>
            </w:tcMar>
          </w:tcPr>
          <w:p w14:paraId="1BA19329" w14:textId="77777777" w:rsidR="0030060A" w:rsidRDefault="0030060A">
            <w:pPr>
              <w:pStyle w:val="RVtabelle75nz"/>
              <w:widowControl/>
            </w:pPr>
            <w:r>
              <w:rPr>
                <w:rFonts w:cs="Calibri"/>
              </w:rPr>
              <w:t>1-4</w:t>
            </w:r>
          </w:p>
        </w:tc>
        <w:tc>
          <w:tcPr>
            <w:tcW w:w="952" w:type="dxa"/>
            <w:tcMar>
              <w:top w:w="20" w:type="dxa"/>
              <w:left w:w="40" w:type="dxa"/>
              <w:bottom w:w="20" w:type="dxa"/>
              <w:right w:w="40" w:type="dxa"/>
            </w:tcMar>
          </w:tcPr>
          <w:p w14:paraId="2097472A" w14:textId="77777777" w:rsidR="0030060A" w:rsidRDefault="0030060A">
            <w:pPr>
              <w:pStyle w:val="RVtabelle75nz"/>
              <w:widowControl/>
            </w:pPr>
            <w:r>
              <w:rPr>
                <w:rFonts w:cs="Calibri"/>
              </w:rPr>
              <w:t xml:space="preserve"> 4-16</w:t>
            </w:r>
          </w:p>
        </w:tc>
      </w:tr>
      <w:tr w:rsidR="00000000" w14:paraId="79662224" w14:textId="77777777">
        <w:tc>
          <w:tcPr>
            <w:tcW w:w="1065" w:type="dxa"/>
            <w:tcMar>
              <w:top w:w="20" w:type="dxa"/>
              <w:left w:w="40" w:type="dxa"/>
              <w:bottom w:w="20" w:type="dxa"/>
              <w:right w:w="40" w:type="dxa"/>
            </w:tcMar>
          </w:tcPr>
          <w:p w14:paraId="05DA7619" w14:textId="77777777" w:rsidR="0030060A" w:rsidRDefault="0030060A">
            <w:pPr>
              <w:pStyle w:val="RVfliesstext175nl"/>
            </w:pPr>
            <w:r>
              <w:rPr>
                <w:rFonts w:cs="Calibri"/>
              </w:rPr>
              <w:t>Management</w:t>
            </w:r>
          </w:p>
        </w:tc>
        <w:tc>
          <w:tcPr>
            <w:tcW w:w="716" w:type="dxa"/>
            <w:tcMar>
              <w:top w:w="20" w:type="dxa"/>
              <w:left w:w="40" w:type="dxa"/>
              <w:bottom w:w="20" w:type="dxa"/>
              <w:right w:w="40" w:type="dxa"/>
            </w:tcMar>
          </w:tcPr>
          <w:p w14:paraId="28F1458C" w14:textId="77777777" w:rsidR="0030060A" w:rsidRDefault="0030060A">
            <w:pPr>
              <w:pStyle w:val="RVtabelle75nz"/>
              <w:widowControl/>
            </w:pPr>
            <w:r>
              <w:rPr>
                <w:rFonts w:cs="Calibri"/>
              </w:rPr>
              <w:t>1-4</w:t>
            </w:r>
          </w:p>
        </w:tc>
        <w:tc>
          <w:tcPr>
            <w:tcW w:w="716" w:type="dxa"/>
            <w:tcMar>
              <w:top w:w="20" w:type="dxa"/>
              <w:left w:w="40" w:type="dxa"/>
              <w:bottom w:w="20" w:type="dxa"/>
              <w:right w:w="40" w:type="dxa"/>
            </w:tcMar>
          </w:tcPr>
          <w:p w14:paraId="4B05C2A2" w14:textId="77777777" w:rsidR="0030060A" w:rsidRDefault="0030060A">
            <w:pPr>
              <w:pStyle w:val="RVtabelle75nz"/>
              <w:widowControl/>
            </w:pPr>
            <w:r>
              <w:rPr>
                <w:rFonts w:cs="Calibri"/>
              </w:rPr>
              <w:t>1-4</w:t>
            </w:r>
          </w:p>
        </w:tc>
        <w:tc>
          <w:tcPr>
            <w:tcW w:w="716" w:type="dxa"/>
            <w:tcMar>
              <w:top w:w="20" w:type="dxa"/>
              <w:left w:w="40" w:type="dxa"/>
              <w:bottom w:w="20" w:type="dxa"/>
              <w:right w:w="40" w:type="dxa"/>
            </w:tcMar>
          </w:tcPr>
          <w:p w14:paraId="37089239" w14:textId="77777777" w:rsidR="0030060A" w:rsidRDefault="0030060A">
            <w:pPr>
              <w:pStyle w:val="RVtabelle75nz"/>
              <w:widowControl/>
            </w:pPr>
            <w:r>
              <w:rPr>
                <w:rFonts w:cs="Calibri"/>
              </w:rPr>
              <w:t>1-4</w:t>
            </w:r>
          </w:p>
        </w:tc>
        <w:tc>
          <w:tcPr>
            <w:tcW w:w="716" w:type="dxa"/>
            <w:tcMar>
              <w:top w:w="20" w:type="dxa"/>
              <w:left w:w="40" w:type="dxa"/>
              <w:bottom w:w="20" w:type="dxa"/>
              <w:right w:w="40" w:type="dxa"/>
            </w:tcMar>
          </w:tcPr>
          <w:p w14:paraId="5EDE7896" w14:textId="77777777" w:rsidR="0030060A" w:rsidRDefault="0030060A">
            <w:pPr>
              <w:pStyle w:val="RVtabelle75nz"/>
              <w:widowControl/>
            </w:pPr>
            <w:r>
              <w:rPr>
                <w:rFonts w:cs="Calibri"/>
              </w:rPr>
              <w:t>1-4</w:t>
            </w:r>
          </w:p>
        </w:tc>
        <w:tc>
          <w:tcPr>
            <w:tcW w:w="952" w:type="dxa"/>
            <w:tcMar>
              <w:top w:w="20" w:type="dxa"/>
              <w:left w:w="40" w:type="dxa"/>
              <w:bottom w:w="20" w:type="dxa"/>
              <w:right w:w="40" w:type="dxa"/>
            </w:tcMar>
          </w:tcPr>
          <w:p w14:paraId="17C4F134" w14:textId="77777777" w:rsidR="0030060A" w:rsidRDefault="0030060A">
            <w:pPr>
              <w:pStyle w:val="RVtabelle75nz"/>
              <w:widowControl/>
            </w:pPr>
            <w:r>
              <w:rPr>
                <w:rFonts w:cs="Calibri"/>
              </w:rPr>
              <w:t xml:space="preserve"> 4-16</w:t>
            </w:r>
          </w:p>
        </w:tc>
      </w:tr>
      <w:tr w:rsidR="00000000" w14:paraId="1F2BE1D2" w14:textId="77777777">
        <w:tc>
          <w:tcPr>
            <w:tcW w:w="3929" w:type="dxa"/>
            <w:gridSpan w:val="5"/>
            <w:tcMar>
              <w:top w:w="20" w:type="dxa"/>
              <w:left w:w="40" w:type="dxa"/>
              <w:bottom w:w="20" w:type="dxa"/>
              <w:right w:w="40" w:type="dxa"/>
            </w:tcMar>
          </w:tcPr>
          <w:p w14:paraId="5E38BF81" w14:textId="77777777" w:rsidR="0030060A" w:rsidRDefault="0030060A">
            <w:pPr>
              <w:pStyle w:val="RVfliesstext175nl"/>
            </w:pPr>
            <w:r>
              <w:rPr>
                <w:rFonts w:cs="Calibri"/>
              </w:rPr>
              <w:t>Gesamtpunktwert</w:t>
            </w:r>
          </w:p>
        </w:tc>
        <w:tc>
          <w:tcPr>
            <w:tcW w:w="952" w:type="dxa"/>
            <w:tcMar>
              <w:top w:w="20" w:type="dxa"/>
              <w:left w:w="40" w:type="dxa"/>
              <w:bottom w:w="20" w:type="dxa"/>
              <w:right w:w="40" w:type="dxa"/>
            </w:tcMar>
          </w:tcPr>
          <w:p w14:paraId="42179E97" w14:textId="77777777" w:rsidR="0030060A" w:rsidRDefault="0030060A">
            <w:pPr>
              <w:pStyle w:val="RVtabelle75nz"/>
              <w:widowControl/>
            </w:pPr>
            <w:r>
              <w:rPr>
                <w:rFonts w:cs="Calibri"/>
              </w:rPr>
              <w:t>16-64</w:t>
            </w:r>
          </w:p>
        </w:tc>
      </w:tr>
      <w:tr w:rsidR="00000000" w14:paraId="491996FE" w14:textId="77777777">
        <w:trPr>
          <w:cantSplit/>
        </w:trPr>
        <w:tc>
          <w:tcPr>
            <w:tcW w:w="4881" w:type="dxa"/>
            <w:gridSpan w:val="6"/>
            <w:tcBorders>
              <w:left w:val="nil"/>
              <w:bottom w:val="nil"/>
              <w:right w:val="nil"/>
            </w:tcBorders>
            <w:tcMar>
              <w:top w:w="-90" w:type="dxa"/>
              <w:left w:w="20" w:type="dxa"/>
              <w:bottom w:w="20" w:type="dxa"/>
              <w:right w:w="20" w:type="dxa"/>
            </w:tcMar>
          </w:tcPr>
          <w:p w14:paraId="7182FC65" w14:textId="77777777" w:rsidR="0030060A" w:rsidRDefault="0030060A">
            <w:pPr>
              <w:pStyle w:val="RVtabellenunterschriftanfang"/>
              <w:rPr>
                <w:rFonts w:cs="Arial"/>
              </w:rPr>
            </w:pPr>
            <w:r>
              <w:t xml:space="preserve">Tabelle </w:t>
            </w:r>
            <w:r>
              <w:rPr>
                <w:rFonts w:cs="Arial"/>
              </w:rPr>
              <w:fldChar w:fldCharType="begin"/>
            </w:r>
            <w:r>
              <w:rPr>
                <w:rFonts w:cs="Arial"/>
              </w:rPr>
              <w:instrText>SEQ Tabelle \* ARABIC</w:instrText>
            </w:r>
            <w:r>
              <w:rPr>
                <w:rFonts w:cs="Arial"/>
              </w:rPr>
              <w:fldChar w:fldCharType="separate"/>
            </w:r>
            <w:r>
              <w:t>1</w:t>
            </w:r>
            <w:r>
              <w:rPr>
                <w:rFonts w:cs="Arial"/>
              </w:rPr>
              <w:fldChar w:fldCharType="end"/>
            </w:r>
            <w:r>
              <w:rPr>
                <w:rFonts w:cs="Arial"/>
              </w:rPr>
              <w:t xml:space="preserve">: </w:t>
            </w:r>
            <w:r>
              <w:t>Bewertung der Leitungskompetenzen (EFV)</w:t>
            </w:r>
          </w:p>
        </w:tc>
      </w:tr>
    </w:tbl>
    <w:p w14:paraId="75C2621E" w14:textId="77777777" w:rsidR="0030060A" w:rsidRDefault="0030060A">
      <w:pPr>
        <w:pStyle w:val="RVfliesstext175nb"/>
        <w:rPr>
          <w:rFonts w:cs="Arial"/>
        </w:rPr>
      </w:pPr>
      <w:r>
        <w:t>4.9 Das EFV ist bestanden, wenn der Gesamtpunktwert mindestens 41 Punkte betr</w:t>
      </w:r>
      <w:r>
        <w:t>ä</w:t>
      </w:r>
      <w:r>
        <w:t xml:space="preserve">gt. Bei 41-43 Punkten lautet das Ergebnis </w:t>
      </w:r>
      <w:r>
        <w:t>„</w:t>
      </w:r>
      <w:r>
        <w:t>Die Leistungen entsprechen den Anforderungen</w:t>
      </w:r>
      <w:r>
        <w:t>“</w:t>
      </w:r>
      <w:r>
        <w:t xml:space="preserve">. Bei 44-51 Punkten lautet das Ergebnis </w:t>
      </w:r>
      <w:r>
        <w:lastRenderedPageBreak/>
        <w:t>„</w:t>
      </w:r>
      <w:r>
        <w:t xml:space="preserve">Die Leistungen </w:t>
      </w:r>
      <w:r>
        <w:t>ü</w:t>
      </w:r>
      <w:r>
        <w:t>bertreffen die Anforderungen</w:t>
      </w:r>
      <w:r>
        <w:t>“</w:t>
      </w:r>
      <w:r>
        <w:t xml:space="preserve">. Bei 52-64 Punkten lautet das Ergebnis </w:t>
      </w:r>
      <w:r>
        <w:t>„</w:t>
      </w:r>
      <w:r>
        <w:t xml:space="preserve">Die Leistungen </w:t>
      </w:r>
      <w:r>
        <w:t>ü</w:t>
      </w:r>
      <w:r>
        <w:t>bertreffen die Anforderungen in besonderem Ma</w:t>
      </w:r>
      <w:r>
        <w:t>ß</w:t>
      </w:r>
      <w:r>
        <w:t>e</w:t>
      </w:r>
      <w:r>
        <w:t>“</w:t>
      </w:r>
      <w:r>
        <w:t>. Die Ergebnisse werden von den Beobachterinnen und Beobachtern protokolliert. Den Teilnehmenden werden die Ergebnisse zum Abschluss des EFV von einer Beobachterin oder einem Beobachter in Einzelgespr</w:t>
      </w:r>
      <w:r>
        <w:t>ä</w:t>
      </w:r>
      <w:r>
        <w:t>chen er</w:t>
      </w:r>
      <w:r>
        <w:t>ö</w:t>
      </w:r>
      <w:r>
        <w:t>ffnet. Das Ergebnis des EFV ist landesweit g</w:t>
      </w:r>
      <w:r>
        <w:t>ü</w:t>
      </w:r>
      <w:r>
        <w:t>ltig und wird den Teilnehmenden von der f</w:t>
      </w:r>
      <w:r>
        <w:t>ü</w:t>
      </w:r>
      <w:r>
        <w:t>r sie zust</w:t>
      </w:r>
      <w:r>
        <w:t>ä</w:t>
      </w:r>
      <w:r>
        <w:t>ndigen Bezirksregierung nach dem EFV schriftlich mitgeteilt. Die Teilnehmenden werden dar</w:t>
      </w:r>
      <w:r>
        <w:t>ü</w:t>
      </w:r>
      <w:r>
        <w:t>ber informiert, in welchen Bereichen f</w:t>
      </w:r>
      <w:r>
        <w:t>ü</w:t>
      </w:r>
      <w:r>
        <w:t>r sie Fortbildungsbedarf besteht. Teilnehmende k</w:t>
      </w:r>
      <w:r>
        <w:t>ö</w:t>
      </w:r>
      <w:r>
        <w:t>nnen das EFV nach einem Jahr wiederholen.</w:t>
      </w:r>
    </w:p>
    <w:p w14:paraId="3D3AFC8E" w14:textId="77777777" w:rsidR="0030060A" w:rsidRDefault="0030060A">
      <w:pPr>
        <w:pStyle w:val="RVfliesstext175nb"/>
        <w:rPr>
          <w:rFonts w:cs="Arial"/>
        </w:rPr>
      </w:pPr>
      <w:r>
        <w:t>4.10 Die Teilnehmenden werden aus Anlass der Bewerbung um ein konkretes Schulleitungsamt gem</w:t>
      </w:r>
      <w:r>
        <w:t>äß</w:t>
      </w:r>
      <w:r>
        <w:t xml:space="preserve"> Nummer 3.1.2 der Beurteilungsrichtlinien f</w:t>
      </w:r>
      <w:r>
        <w:t>ü</w:t>
      </w:r>
      <w:r>
        <w:t>r die Lehrkr</w:t>
      </w:r>
      <w:r>
        <w:t>ä</w:t>
      </w:r>
      <w:r>
        <w:t>fte (BASS 21-02 Nr. 2) durch die zust</w:t>
      </w:r>
      <w:r>
        <w:t>ä</w:t>
      </w:r>
      <w:r>
        <w:t xml:space="preserve">ndige Schulaufsicht dienstlich beurteilt. Die Beurteilenden erhalten Einsicht in die </w:t>
      </w:r>
      <w:r>
        <w:t>ü</w:t>
      </w:r>
      <w:r>
        <w:t>ber das EFV gef</w:t>
      </w:r>
      <w:r>
        <w:t>ü</w:t>
      </w:r>
      <w:r>
        <w:t>hrten Unterlagen. Grundlagen der dienstlichen Beurteilung und der darin zu bildenden Gesamtnote sind das Ergebnis des zuletzt durchgef</w:t>
      </w:r>
      <w:r>
        <w:t>ü</w:t>
      </w:r>
      <w:r>
        <w:t>hrten EFV (Nummer 4.9) und ein Leistungsbericht der Schulleiterin oder des Schulleiters. Dieser geht auch auf Koordinierungs- und Leitungst</w:t>
      </w:r>
      <w:r>
        <w:t>ä</w:t>
      </w:r>
      <w:r>
        <w:t>tigkeiten ein, die im Beurteilungszeitraum erbracht worden sind. Bei mindestens sechsmonatigen Abordnungen au</w:t>
      </w:r>
      <w:r>
        <w:t>ß</w:t>
      </w:r>
      <w:r>
        <w:t>erhalb des Schulbereichs erstellt die aufnehmende Dienststelle einen Beurteilungsbeitrag. Sofern das Einholen weiterer Erkenntnisse f</w:t>
      </w:r>
      <w:r>
        <w:t>ü</w:t>
      </w:r>
      <w:r>
        <w:t>r die dienstliche Beurteilung, insbesondere wegen festgestellter Abweichungen zwischen dem Ergebnis des EFV und dem Leistungsbericht zwingend erforderlich ist, f</w:t>
      </w:r>
      <w:r>
        <w:t>ü</w:t>
      </w:r>
      <w:r>
        <w:t>hrt die Schulaufsicht ein schulfachliches Gespr</w:t>
      </w:r>
      <w:r>
        <w:t>ä</w:t>
      </w:r>
      <w:r>
        <w:t>ch (Kolloquium) zur Vorbereitung der dienstlichen Beurteilung durch. Das schulfachliche Gespr</w:t>
      </w:r>
      <w:r>
        <w:t>ä</w:t>
      </w:r>
      <w:r>
        <w:t>ch bezieht sich auf die Handlungsfelder (Gestaltung und Qualit</w:t>
      </w:r>
      <w:r>
        <w:t>ä</w:t>
      </w:r>
      <w:r>
        <w:t>tsentwicklung, Personalmanagement, schulinterne/schulexterne Kommunikation und Kooperation, Recht und Verwaltung) und Schl</w:t>
      </w:r>
      <w:r>
        <w:t>ü</w:t>
      </w:r>
      <w:r>
        <w:t>sselkompetenzen (Leitungskompetenzen, Fachkompetenzen) f</w:t>
      </w:r>
      <w:r>
        <w:t>ü</w:t>
      </w:r>
      <w:r>
        <w:t>r das Schulleitungshandeln in eigenverantwortlichen Schulen. Nummer 4.3 der Beurteilungsrichtlinien findet keine Anwendung. Das Gespr</w:t>
      </w:r>
      <w:r>
        <w:t>ä</w:t>
      </w:r>
      <w:r>
        <w:t xml:space="preserve">ch soll die Dauer von einer Stunde nicht </w:t>
      </w:r>
      <w:r>
        <w:t>ü</w:t>
      </w:r>
      <w:r>
        <w:t>berschreiten. Die Ergebnisse sind von der Beurteilerin oder dem Beurteiler zu protokollieren. Die Beurteilerin oder der Beurteiler setzt sich mit den Ergebnissen des EFV auseinander. Die Aussagen aus dem Leistungsbericht, die Informationen aus dem Eignungsfeststellungsverfahren und gegebenenfalls die Erkenntnisse aus dem schulfachlichen Gespr</w:t>
      </w:r>
      <w:r>
        <w:t>ä</w:t>
      </w:r>
      <w:r>
        <w:t>ch sowie sonstige Erkenntnisse sind inhaltlich abzuw</w:t>
      </w:r>
      <w:r>
        <w:t>ä</w:t>
      </w:r>
      <w:r>
        <w:t>gen und in einem Akt wertender Erkenntnis in die dienstliche Beurteilung aufzunehmen. F</w:t>
      </w:r>
      <w:r>
        <w:t>ü</w:t>
      </w:r>
      <w:r>
        <w:t>r die G</w:t>
      </w:r>
      <w:r>
        <w:t>ü</w:t>
      </w:r>
      <w:r>
        <w:t>ltigkeit der dienstlichen Beurteilung gilt 3.4 der Beurteilungsrichtlinie (BASS 21-02 Nr.2). Liegt das EFV bei der Erstellung einer dienstlichen Beurteilung l</w:t>
      </w:r>
      <w:r>
        <w:t>ä</w:t>
      </w:r>
      <w:r>
        <w:t>nger als drei Jahre zur</w:t>
      </w:r>
      <w:r>
        <w:t>ü</w:t>
      </w:r>
      <w:r>
        <w:t>ck, muss das EFV wiederholt werden.</w:t>
      </w:r>
    </w:p>
    <w:p w14:paraId="1AF79D8B" w14:textId="77777777" w:rsidR="0030060A" w:rsidRDefault="0030060A">
      <w:pPr>
        <w:pStyle w:val="RVfliesstext175nb"/>
        <w:rPr>
          <w:rFonts w:cs="Arial"/>
        </w:rPr>
      </w:pPr>
      <w:r>
        <w:t xml:space="preserve">4.11 Sofern eine dienstliche Beurteilung erstellt wird, sind die Unterlagen </w:t>
      </w:r>
      <w:r>
        <w:t>ü</w:t>
      </w:r>
      <w:r>
        <w:t xml:space="preserve">ber das EFV und </w:t>
      </w:r>
      <w:r>
        <w:t>ü</w:t>
      </w:r>
      <w:r>
        <w:t>ber das gegebenenfalls durchgef</w:t>
      </w:r>
      <w:r>
        <w:t>ü</w:t>
      </w:r>
      <w:r>
        <w:t>hrte Kolloquium zu den Personalakten zu nehmen. In den anderen F</w:t>
      </w:r>
      <w:r>
        <w:t>ä</w:t>
      </w:r>
      <w:r>
        <w:t xml:space="preserve">llen werden die Unterlagen </w:t>
      </w:r>
      <w:r>
        <w:t>ü</w:t>
      </w:r>
      <w:r>
        <w:t>ber das EFV in einer Sachakte aufbewahrt.</w:t>
      </w:r>
    </w:p>
    <w:p w14:paraId="28639BB0" w14:textId="77777777" w:rsidR="0030060A" w:rsidRDefault="0030060A">
      <w:pPr>
        <w:pStyle w:val="RVfliesstext175nb"/>
        <w:rPr>
          <w:rFonts w:cs="Arial"/>
        </w:rPr>
      </w:pPr>
      <w:r>
        <w:t>4.12 Die Kosten des EFV sind aus Kapitel 05 300 Titel 547 91 zu bestreiten.</w:t>
      </w:r>
    </w:p>
    <w:p w14:paraId="10587FA3" w14:textId="77777777" w:rsidR="0030060A" w:rsidRDefault="0030060A">
      <w:pPr>
        <w:pStyle w:val="RVfliesstext175nb"/>
        <w:rPr>
          <w:rFonts w:cs="Arial"/>
        </w:rPr>
      </w:pPr>
      <w:r>
        <w:t>Der Runderlass tritt am 01.08.2016 in Kraft.</w:t>
      </w:r>
    </w:p>
    <w:p w14:paraId="2E255BBE" w14:textId="77777777" w:rsidR="0030060A" w:rsidRDefault="0030060A">
      <w:pPr>
        <w:pStyle w:val="RVfliesstext175nb"/>
        <w:rPr>
          <w:rFonts w:cs="Arial"/>
        </w:rPr>
      </w:pPr>
      <w:r>
        <w:t>Der Runderlass des MSW vom 26.06.2013 (BASS 21-01 Nr. 30) wird aufgehoben.</w:t>
      </w:r>
    </w:p>
    <w:p w14:paraId="6A3D6575" w14:textId="77777777" w:rsidR="0030060A" w:rsidRDefault="0030060A">
      <w:pPr>
        <w:pStyle w:val="RVfliesstext175nb"/>
      </w:pPr>
    </w:p>
    <w:p w14:paraId="506A26C0" w14:textId="77777777" w:rsidR="0030060A" w:rsidRDefault="0030060A">
      <w:pPr>
        <w:pStyle w:val="RVfliesstext175nb"/>
      </w:pPr>
      <w:r>
        <w:rPr>
          <w:rFonts w:cs="Arial"/>
        </w:rPr>
        <w:t>ABl. NRW. 06/2016 S. 58</w:t>
      </w:r>
    </w:p>
    <w:sectPr w:rsidR="00000000">
      <w:footerReference w:type="even" r:id="rId7"/>
      <w:footerReference w:type="default" r:id="rId8"/>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60FFE" w14:textId="77777777" w:rsidR="0030060A" w:rsidRDefault="0030060A">
      <w:r>
        <w:separator/>
      </w:r>
    </w:p>
  </w:endnote>
  <w:endnote w:type="continuationSeparator" w:id="0">
    <w:p w14:paraId="44A5DF8D" w14:textId="77777777" w:rsidR="0030060A" w:rsidRDefault="00300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46AFE" w14:textId="77777777" w:rsidR="0030060A" w:rsidRDefault="0030060A">
    <w:pPr>
      <w:pStyle w:val="Fudfzeile"/>
      <w:widowControl/>
      <w:rPr>
        <w:rFonts w:cs="Calibri"/>
      </w:rPr>
    </w:pPr>
    <w:r>
      <w:t>©</w:t>
    </w:r>
    <w:r>
      <w:t xml:space="preserve"> Ritterbach Verlag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22B11" w14:textId="77777777" w:rsidR="0030060A" w:rsidRDefault="0030060A">
    <w:pPr>
      <w:pStyle w:val="Fudfzeile"/>
      <w:widowControl/>
      <w:rPr>
        <w:rFonts w:cs="Calibri"/>
      </w:rPr>
    </w:pPr>
    <w:r>
      <w:t>©</w:t>
    </w:r>
    <w:r>
      <w:t xml:space="preserve"> Ritterbach Verlag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AD6A7" w14:textId="77777777" w:rsidR="0030060A" w:rsidRDefault="0030060A">
      <w:pPr>
        <w:widowControl/>
        <w:rPr>
          <w:rFonts w:cs="Calibri"/>
          <w:sz w:val="2"/>
        </w:rPr>
      </w:pPr>
      <w:r>
        <w:separator/>
      </w:r>
    </w:p>
  </w:footnote>
  <w:footnote w:type="continuationSeparator" w:id="0">
    <w:p w14:paraId="0070661E" w14:textId="77777777" w:rsidR="0030060A" w:rsidRDefault="0030060A">
      <w:pPr>
        <w:widowControl/>
        <w:rPr>
          <w:rFonts w:cs="Calibri"/>
          <w:sz w:val="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292C91"/>
    <w:rsid w:val="00292C91"/>
    <w:rsid w:val="0030060A"/>
    <w:rsid w:val="00A339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E7DB84"/>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Bass-Nr">
    <w:name w:val="Bass-Nr"/>
    <w:uiPriority w:val="99"/>
    <w:pPr>
      <w:widowControl w:val="0"/>
      <w:autoSpaceDE w:val="0"/>
      <w:autoSpaceDN w:val="0"/>
      <w:adjustRightInd w:val="0"/>
      <w:spacing w:line="200" w:lineRule="exact"/>
      <w:ind w:left="1" w:hanging="1"/>
    </w:pPr>
    <w:rPr>
      <w:rFonts w:ascii="Arial" w:hAnsi="Arial" w:cs="Arial"/>
      <w:b/>
      <w:color w:val="000000"/>
      <w:szCs w:val="24"/>
    </w:rPr>
  </w:style>
  <w:style w:type="paragraph" w:customStyle="1" w:styleId="BASS-Nr-ABl">
    <w:name w:val="BASS-Nr-ABl"/>
    <w:uiPriority w:val="99"/>
    <w:pPr>
      <w:widowControl w:val="0"/>
      <w:tabs>
        <w:tab w:val="left" w:pos="811"/>
      </w:tabs>
      <w:autoSpaceDE w:val="0"/>
      <w:autoSpaceDN w:val="0"/>
      <w:adjustRightInd w:val="0"/>
      <w:spacing w:line="200" w:lineRule="exact"/>
      <w:ind w:left="1" w:hanging="1"/>
    </w:pPr>
    <w:rPr>
      <w:rFonts w:ascii="Arial" w:hAnsi="Arial" w:cs="Calibri"/>
      <w:b/>
      <w:color w:val="666666"/>
      <w:szCs w:val="24"/>
    </w:rPr>
  </w:style>
  <w:style w:type="paragraph" w:customStyle="1" w:styleId="Fudfzeile">
    <w:name w:val="Fußdf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Calibri"/>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RVAnlagenpdfAnkerleer20">
    <w:name w:val="RV_Anlagen_pdf_Anker_leer_20"/>
    <w:uiPriority w:val="99"/>
    <w:pPr>
      <w:widowControl w:val="0"/>
      <w:autoSpaceDE w:val="0"/>
      <w:autoSpaceDN w:val="0"/>
      <w:adjustRightInd w:val="0"/>
      <w:spacing w:line="40" w:lineRule="exact"/>
      <w:ind w:left="1" w:hanging="1"/>
      <w:jc w:val="both"/>
    </w:pPr>
    <w:rPr>
      <w:rFonts w:ascii="Arial" w:hAnsi="Arial" w:cs="Arial"/>
      <w:color w:val="000000"/>
      <w:sz w:val="4"/>
      <w:szCs w:val="24"/>
      <w:lang w:val="en-US"/>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hAnsi="Arial" w:cs="Calibri"/>
      <w:color w:val="000000"/>
      <w:sz w:val="13"/>
      <w:szCs w:val="24"/>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hAnsi="Arial" w:cs="Arial"/>
      <w:b/>
      <w:color w:val="000000"/>
      <w:sz w:val="15"/>
      <w:szCs w:val="24"/>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hAnsi="Arial" w:cs="Calibri"/>
      <w:b/>
      <w:color w:val="000000"/>
      <w:sz w:val="15"/>
      <w:szCs w:val="24"/>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hAnsi="Arial" w:cs="Arial"/>
      <w:i/>
      <w:color w:val="000000"/>
      <w:sz w:val="15"/>
      <w:szCs w:val="24"/>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hAnsi="Arial" w:cs="Calibri"/>
      <w:color w:val="000000"/>
      <w:sz w:val="15"/>
      <w:szCs w:val="24"/>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hAnsi="Arial" w:cs="Arial"/>
      <w:color w:val="000000"/>
      <w:sz w:val="15"/>
      <w:szCs w:val="24"/>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hAnsi="Arial" w:cs="Calibri"/>
      <w:i/>
      <w:color w:val="000000"/>
      <w:sz w:val="12"/>
      <w:szCs w:val="24"/>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hAnsi="Arial" w:cs="Arial"/>
      <w:color w:val="000000"/>
      <w:sz w:val="12"/>
      <w:szCs w:val="24"/>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hAnsi="Arial" w:cs="Calibri"/>
      <w:b/>
      <w:color w:val="000000"/>
      <w:sz w:val="15"/>
      <w:szCs w:val="24"/>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hAnsi="Arial" w:cs="Arial"/>
      <w:b/>
      <w:color w:val="000000"/>
      <w:sz w:val="15"/>
      <w:szCs w:val="24"/>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hAnsi="Arial" w:cs="Calibri"/>
      <w:color w:val="000000"/>
      <w:sz w:val="15"/>
      <w:szCs w:val="24"/>
    </w:rPr>
  </w:style>
  <w:style w:type="paragraph" w:customStyle="1" w:styleId="RVliste1n75nlanfang">
    <w:name w:val="RV_liste_1n_75_n_l_anfang"/>
    <w:uiPriority w:val="99"/>
    <w:pPr>
      <w:widowControl w:val="0"/>
      <w:tabs>
        <w:tab w:val="left" w:pos="397"/>
      </w:tabs>
      <w:autoSpaceDE w:val="0"/>
      <w:autoSpaceDN w:val="0"/>
      <w:adjustRightInd w:val="0"/>
      <w:spacing w:after="40" w:line="160" w:lineRule="exact"/>
      <w:ind w:left="398" w:hanging="398"/>
    </w:pPr>
    <w:rPr>
      <w:rFonts w:ascii="Arial" w:hAnsi="Arial" w:cs="Arial"/>
      <w:color w:val="000000"/>
      <w:sz w:val="15"/>
      <w:szCs w:val="24"/>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hAnsi="Arial" w:cs="Calibri"/>
      <w:b/>
      <w:color w:val="000000"/>
      <w:sz w:val="15"/>
      <w:szCs w:val="24"/>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hAnsi="Arial" w:cs="Arial"/>
      <w:color w:val="000000"/>
      <w:sz w:val="15"/>
      <w:szCs w:val="24"/>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hAnsi="Arial" w:cs="Calibri"/>
      <w:color w:val="000000"/>
      <w:sz w:val="15"/>
      <w:szCs w:val="24"/>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hAnsi="Arial" w:cs="Arial"/>
      <w:b/>
      <w:color w:val="000000"/>
      <w:sz w:val="15"/>
      <w:szCs w:val="24"/>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hAnsi="Arial" w:cs="Calibri"/>
      <w:color w:val="000000"/>
      <w:sz w:val="15"/>
      <w:szCs w:val="24"/>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hAnsi="Arial" w:cs="Arial"/>
      <w:color w:val="000000"/>
      <w:sz w:val="15"/>
      <w:szCs w:val="24"/>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hAnsi="Arial" w:cs="Calibri"/>
      <w:color w:val="000000"/>
      <w:sz w:val="12"/>
      <w:szCs w:val="24"/>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Arial"/>
      <w:b/>
      <w:color w:val="000000"/>
      <w:sz w:val="15"/>
      <w:szCs w:val="24"/>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Calibri"/>
      <w:color w:val="000000"/>
      <w:sz w:val="15"/>
      <w:szCs w:val="24"/>
    </w:rPr>
  </w:style>
  <w:style w:type="paragraph" w:customStyle="1" w:styleId="RVredhinweis">
    <w:name w:val="RV_red_hinweis"/>
    <w:uiPriority w:val="99"/>
    <w:pPr>
      <w:widowControl w:val="0"/>
      <w:shd w:val="solid" w:color="CCCCCC" w:fill="auto"/>
      <w:autoSpaceDE w:val="0"/>
      <w:autoSpaceDN w:val="0"/>
      <w:adjustRightInd w:val="0"/>
      <w:spacing w:line="170" w:lineRule="exact"/>
      <w:ind w:left="1" w:hanging="1"/>
    </w:pPr>
    <w:rPr>
      <w:rFonts w:ascii="Arial" w:hAnsi="Arial" w:cs="Arial"/>
      <w:i/>
      <w:color w:val="000000"/>
      <w:sz w:val="15"/>
      <w:szCs w:val="24"/>
    </w:rPr>
  </w:style>
  <w:style w:type="paragraph" w:customStyle="1" w:styleId="RVSpaltenbeginnleer20">
    <w:name w:val="RV_Spaltenbeginn_leer_20"/>
    <w:uiPriority w:val="99"/>
    <w:pPr>
      <w:widowControl w:val="0"/>
      <w:autoSpaceDE w:val="0"/>
      <w:autoSpaceDN w:val="0"/>
      <w:adjustRightInd w:val="0"/>
      <w:ind w:left="1" w:hanging="1"/>
      <w:jc w:val="both"/>
    </w:pPr>
    <w:rPr>
      <w:rFonts w:ascii="Arial" w:hAnsi="Arial" w:cs="Calibri"/>
      <w:color w:val="000000"/>
      <w:sz w:val="4"/>
      <w:szCs w:val="24"/>
      <w:lang w:val="en-US"/>
    </w:rPr>
  </w:style>
  <w:style w:type="paragraph" w:customStyle="1" w:styleId="RVtabelle155fl">
    <w:name w:val="RV_tabelle_1_55_f_l"/>
    <w:uiPriority w:val="99"/>
    <w:pPr>
      <w:widowControl w:val="0"/>
      <w:autoSpaceDE w:val="0"/>
      <w:autoSpaceDN w:val="0"/>
      <w:adjustRightInd w:val="0"/>
      <w:spacing w:line="110" w:lineRule="exact"/>
      <w:ind w:left="1" w:hanging="1"/>
    </w:pPr>
    <w:rPr>
      <w:rFonts w:ascii="Arial" w:hAnsi="Arial" w:cs="Arial"/>
      <w:b/>
      <w:color w:val="000000"/>
      <w:w w:val="95"/>
      <w:sz w:val="11"/>
      <w:szCs w:val="24"/>
    </w:rPr>
  </w:style>
  <w:style w:type="paragraph" w:customStyle="1" w:styleId="RVtabelle155nlm">
    <w:name w:val="RV_tabelle_1_55_n_l_m"/>
    <w:uiPriority w:val="99"/>
    <w:pPr>
      <w:widowControl w:val="0"/>
      <w:tabs>
        <w:tab w:val="left" w:pos="170"/>
      </w:tabs>
      <w:autoSpaceDE w:val="0"/>
      <w:autoSpaceDN w:val="0"/>
      <w:adjustRightInd w:val="0"/>
      <w:spacing w:line="110" w:lineRule="exact"/>
      <w:ind w:left="1" w:hanging="1"/>
      <w:jc w:val="both"/>
    </w:pPr>
    <w:rPr>
      <w:rFonts w:ascii="Arial" w:hAnsi="Arial" w:cs="Calibri"/>
      <w:color w:val="000000"/>
      <w:sz w:val="11"/>
      <w:szCs w:val="24"/>
    </w:rPr>
  </w:style>
  <w:style w:type="paragraph" w:customStyle="1" w:styleId="RVtabelle160fl">
    <w:name w:val="RV_tabelle_1_60_f_l"/>
    <w:uiPriority w:val="99"/>
    <w:pPr>
      <w:widowControl w:val="0"/>
      <w:autoSpaceDE w:val="0"/>
      <w:autoSpaceDN w:val="0"/>
      <w:adjustRightInd w:val="0"/>
      <w:spacing w:line="120" w:lineRule="exact"/>
      <w:ind w:left="1" w:hanging="1"/>
    </w:pPr>
    <w:rPr>
      <w:rFonts w:ascii="Arial" w:hAnsi="Arial" w:cs="Arial"/>
      <w:b/>
      <w:color w:val="000000"/>
      <w:sz w:val="12"/>
      <w:szCs w:val="24"/>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hAnsi="Arial" w:cs="Calibri"/>
      <w:color w:val="000000"/>
      <w:sz w:val="12"/>
      <w:szCs w:val="24"/>
    </w:rPr>
  </w:style>
  <w:style w:type="paragraph" w:customStyle="1" w:styleId="RVtabelle75fr">
    <w:name w:val="RV_tabelle_75_f_r"/>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rueber-alle-spalten">
    <w:name w:val="RV_tabelle_75_f_r_ueber-alle-spalten"/>
    <w:uiPriority w:val="99"/>
    <w:pPr>
      <w:widowControl w:val="0"/>
      <w:tabs>
        <w:tab w:val="left" w:pos="104"/>
      </w:tabs>
      <w:autoSpaceDE w:val="0"/>
      <w:autoSpaceDN w:val="0"/>
      <w:adjustRightInd w:val="0"/>
      <w:spacing w:line="160" w:lineRule="exact"/>
      <w:ind w:left="1" w:hanging="1"/>
      <w:jc w:val="right"/>
    </w:pPr>
    <w:rPr>
      <w:rFonts w:ascii="Arial" w:hAnsi="Arial" w:cs="Calibri"/>
      <w:b/>
      <w:color w:val="000000"/>
      <w:sz w:val="15"/>
      <w:szCs w:val="24"/>
    </w:rPr>
  </w:style>
  <w:style w:type="paragraph" w:customStyle="1" w:styleId="RVtabelle75fz">
    <w:name w:val="RV_tabelle_75_f_z"/>
    <w:uiPriority w:val="99"/>
    <w:pPr>
      <w:widowControl w:val="0"/>
      <w:tabs>
        <w:tab w:val="left" w:pos="104"/>
      </w:tabs>
      <w:autoSpaceDE w:val="0"/>
      <w:autoSpaceDN w:val="0"/>
      <w:adjustRightInd w:val="0"/>
      <w:spacing w:line="160" w:lineRule="exact"/>
      <w:ind w:left="1" w:hanging="1"/>
      <w:jc w:val="center"/>
    </w:pPr>
    <w:rPr>
      <w:rFonts w:ascii="Arial" w:hAnsi="Arial" w:cs="Arial"/>
      <w:b/>
      <w:color w:val="000000"/>
      <w:sz w:val="15"/>
      <w:szCs w:val="24"/>
      <w:lang w:val="en-US"/>
    </w:rPr>
  </w:style>
  <w:style w:type="paragraph" w:customStyle="1" w:styleId="RVtabelle75nr">
    <w:name w:val="RV_tabelle_75_n_r"/>
    <w:uiPriority w:val="99"/>
    <w:pPr>
      <w:widowControl w:val="0"/>
      <w:tabs>
        <w:tab w:val="left" w:pos="104"/>
      </w:tabs>
      <w:autoSpaceDE w:val="0"/>
      <w:autoSpaceDN w:val="0"/>
      <w:adjustRightInd w:val="0"/>
      <w:spacing w:line="160" w:lineRule="exact"/>
      <w:ind w:left="1" w:hanging="1"/>
      <w:jc w:val="right"/>
    </w:pPr>
    <w:rPr>
      <w:rFonts w:ascii="Arial" w:hAnsi="Arial" w:cs="Calibri"/>
      <w:color w:val="000000"/>
      <w:sz w:val="15"/>
      <w:szCs w:val="24"/>
      <w:lang w:val="en-US"/>
    </w:rPr>
  </w:style>
  <w:style w:type="paragraph" w:customStyle="1" w:styleId="RVtabelle75nz">
    <w:name w:val="RV_tabelle_75_n_z"/>
    <w:uiPriority w:val="99"/>
    <w:pPr>
      <w:widowControl w:val="0"/>
      <w:tabs>
        <w:tab w:val="left" w:pos="104"/>
      </w:tabs>
      <w:autoSpaceDE w:val="0"/>
      <w:autoSpaceDN w:val="0"/>
      <w:adjustRightInd w:val="0"/>
      <w:spacing w:line="160" w:lineRule="exact"/>
      <w:ind w:left="1" w:hanging="1"/>
      <w:jc w:val="center"/>
    </w:pPr>
    <w:rPr>
      <w:rFonts w:ascii="Arial" w:hAnsi="Arial" w:cs="Arial"/>
      <w:color w:val="000000"/>
      <w:sz w:val="15"/>
      <w:szCs w:val="24"/>
      <w:lang w:val="en-US"/>
    </w:rPr>
  </w:style>
  <w:style w:type="paragraph" w:customStyle="1" w:styleId="RVtabellenanker">
    <w:name w:val="RV_tabellenanker"/>
    <w:uiPriority w:val="99"/>
    <w:pPr>
      <w:widowControl w:val="0"/>
      <w:autoSpaceDE w:val="0"/>
      <w:autoSpaceDN w:val="0"/>
      <w:adjustRightInd w:val="0"/>
      <w:spacing w:line="150" w:lineRule="exact"/>
      <w:ind w:left="1" w:hanging="1"/>
    </w:pPr>
    <w:rPr>
      <w:rFonts w:ascii="Arial" w:hAnsi="Arial" w:cs="Calibri"/>
      <w:color w:val="000000"/>
      <w:sz w:val="15"/>
      <w:szCs w:val="24"/>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hAnsi="Arial" w:cs="Arial"/>
      <w:i/>
      <w:color w:val="000000"/>
      <w:sz w:val="13"/>
      <w:szCs w:val="24"/>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hAnsi="Arial" w:cs="Calibri"/>
      <w:i/>
      <w:color w:val="000000"/>
      <w:sz w:val="13"/>
      <w:szCs w:val="24"/>
    </w:rPr>
  </w:style>
  <w:style w:type="paragraph" w:customStyle="1" w:styleId="RVtabellenfcberschrift">
    <w:name w:val="RV_tabellenüfcberschrift"/>
    <w:uiPriority w:val="99"/>
    <w:pPr>
      <w:widowControl w:val="0"/>
      <w:tabs>
        <w:tab w:val="left" w:pos="104"/>
      </w:tabs>
      <w:autoSpaceDE w:val="0"/>
      <w:autoSpaceDN w:val="0"/>
      <w:adjustRightInd w:val="0"/>
      <w:spacing w:before="80" w:after="40" w:line="150" w:lineRule="exact"/>
      <w:ind w:left="1" w:hanging="1"/>
      <w:jc w:val="center"/>
    </w:pPr>
    <w:rPr>
      <w:rFonts w:ascii="Arial" w:hAnsi="Arial" w:cs="Arial"/>
      <w:b/>
      <w:color w:val="000000"/>
      <w:sz w:val="15"/>
      <w:szCs w:val="24"/>
    </w:rPr>
  </w:style>
  <w:style w:type="paragraph" w:customStyle="1" w:styleId="RVueberschrift1100fz">
    <w:name w:val="RV_ueberschrift_1_100_f_z"/>
    <w:uiPriority w:val="99"/>
    <w:pPr>
      <w:widowControl w:val="0"/>
      <w:autoSpaceDE w:val="0"/>
      <w:autoSpaceDN w:val="0"/>
      <w:adjustRightInd w:val="0"/>
      <w:spacing w:before="60" w:after="40" w:line="220" w:lineRule="exact"/>
      <w:ind w:left="1" w:hanging="1"/>
      <w:jc w:val="center"/>
    </w:pPr>
    <w:rPr>
      <w:rFonts w:ascii="Arial" w:hAnsi="Arial" w:cs="Calibri"/>
      <w:b/>
      <w:color w:val="000000"/>
      <w:szCs w:val="24"/>
    </w:rPr>
  </w:style>
  <w:style w:type="paragraph" w:customStyle="1" w:styleId="RVueberschrift275nul">
    <w:name w:val="RV_ueberschrift_2_75_nu_l"/>
    <w:uiPriority w:val="99"/>
    <w:pPr>
      <w:widowControl w:val="0"/>
      <w:autoSpaceDE w:val="0"/>
      <w:autoSpaceDN w:val="0"/>
      <w:adjustRightInd w:val="0"/>
      <w:spacing w:before="60" w:after="40" w:line="170" w:lineRule="exact"/>
      <w:ind w:left="1" w:hanging="1"/>
      <w:jc w:val="both"/>
    </w:pPr>
    <w:rPr>
      <w:rFonts w:ascii="Arial" w:hAnsi="Arial" w:cs="Arial"/>
      <w:color w:val="000000"/>
      <w:sz w:val="17"/>
      <w:szCs w:val="24"/>
      <w:u w:val="single"/>
    </w:rPr>
  </w:style>
  <w:style w:type="paragraph" w:customStyle="1" w:styleId="RVueberschrift285fz">
    <w:name w:val="RV_ueberschrift_2_85_f_z"/>
    <w:uiPriority w:val="99"/>
    <w:pPr>
      <w:widowControl w:val="0"/>
      <w:autoSpaceDE w:val="0"/>
      <w:autoSpaceDN w:val="0"/>
      <w:adjustRightInd w:val="0"/>
      <w:spacing w:before="80" w:after="60" w:line="170" w:lineRule="exact"/>
      <w:ind w:left="1" w:hanging="1"/>
      <w:jc w:val="center"/>
    </w:pPr>
    <w:rPr>
      <w:rFonts w:ascii="Arial" w:hAnsi="Arial" w:cs="Calibri"/>
      <w:b/>
      <w:color w:val="000000"/>
      <w:sz w:val="17"/>
      <w:szCs w:val="24"/>
    </w:rPr>
  </w:style>
  <w:style w:type="paragraph" w:customStyle="1" w:styleId="RVueberschrift285nz">
    <w:name w:val="RV_ueberschrift_2_85_n_z"/>
    <w:uiPriority w:val="99"/>
    <w:pPr>
      <w:widowControl w:val="0"/>
      <w:autoSpaceDE w:val="0"/>
      <w:autoSpaceDN w:val="0"/>
      <w:adjustRightInd w:val="0"/>
      <w:spacing w:before="80" w:after="60" w:line="170" w:lineRule="exact"/>
      <w:ind w:left="1" w:hanging="1"/>
      <w:jc w:val="center"/>
    </w:pPr>
    <w:rPr>
      <w:rFonts w:ascii="Arial" w:hAnsi="Arial" w:cs="Arial"/>
      <w:color w:val="000000"/>
      <w:sz w:val="17"/>
      <w:szCs w:val="24"/>
    </w:rPr>
  </w:style>
  <w:style w:type="paragraph" w:styleId="Funotentext">
    <w:name w:val="footnote text"/>
    <w:basedOn w:val="Standard"/>
    <w:link w:val="Fu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rFonts w:cs="Calibri"/>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color w:val="0000FF"/>
      <w:sz w:val="22"/>
      <w:u w:val="single"/>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rPr>
      <w:rFonts w:asciiTheme="minorHAnsi" w:hAnsiTheme="minorHAnsi" w:cs="Times New Roman"/>
      <w:sz w:val="22"/>
      <w:vertAlign w:val="superscript"/>
    </w:rPr>
  </w:style>
  <w:style w:type="character" w:customStyle="1" w:styleId="95">
    <w:name w:val="95%"/>
    <w:uiPriority w:val="99"/>
    <w:rPr>
      <w:rFonts w:ascii="Arial" w:hAnsi="Arial"/>
      <w:w w:val="95"/>
      <w:sz w:val="22"/>
    </w:rPr>
  </w:style>
  <w:style w:type="character" w:customStyle="1" w:styleId="96">
    <w:name w:val="96%"/>
    <w:uiPriority w:val="99"/>
    <w:rPr>
      <w:rFonts w:ascii="Arial" w:hAnsi="Arial" w:cs="Arial"/>
      <w:color w:val="000000"/>
      <w:w w:val="96"/>
      <w:sz w:val="15"/>
    </w:rPr>
  </w:style>
  <w:style w:type="character" w:customStyle="1" w:styleId="97">
    <w:name w:val="97%"/>
    <w:uiPriority w:val="99"/>
    <w:rPr>
      <w:rFonts w:ascii="Arial" w:hAnsi="Arial"/>
      <w:w w:val="97"/>
      <w:sz w:val="22"/>
    </w:rPr>
  </w:style>
  <w:style w:type="character" w:customStyle="1" w:styleId="98">
    <w:name w:val="98%"/>
    <w:uiPriority w:val="99"/>
    <w:rPr>
      <w:rFonts w:ascii="Arial" w:hAnsi="Arial" w:cs="Arial"/>
      <w:w w:val="98"/>
      <w:sz w:val="22"/>
    </w:rPr>
  </w:style>
  <w:style w:type="character" w:customStyle="1" w:styleId="99">
    <w:name w:val="99%"/>
    <w:uiPriority w:val="99"/>
    <w:rPr>
      <w:rFonts w:ascii="Arial" w:hAnsi="Arial"/>
      <w:w w:val="99"/>
      <w:sz w:val="22"/>
    </w:rPr>
  </w:style>
  <w:style w:type="character" w:customStyle="1" w:styleId="Betonung">
    <w:name w:val="Betonung"/>
    <w:uiPriority w:val="99"/>
    <w:rPr>
      <w:rFonts w:asciiTheme="minorHAnsi" w:hAnsiTheme="minorHAnsi" w:cs="Times New Roman"/>
      <w:i/>
      <w:sz w:val="22"/>
    </w:rPr>
  </w:style>
  <w:style w:type="character" w:customStyle="1" w:styleId="blau">
    <w:name w:val="blau"/>
    <w:uiPriority w:val="99"/>
    <w:rPr>
      <w:rFonts w:ascii="Arial" w:hAnsi="Arial"/>
      <w:b/>
      <w:color w:val="0000FF"/>
      <w:sz w:val="17"/>
    </w:rPr>
  </w:style>
  <w:style w:type="character" w:customStyle="1" w:styleId="blauundhf">
    <w:name w:val="blau und hf"/>
    <w:uiPriority w:val="99"/>
    <w:rPr>
      <w:rFonts w:ascii="Arial" w:hAnsi="Arial" w:cs="Arial"/>
      <w:b/>
      <w:color w:val="0000FF"/>
      <w:sz w:val="15"/>
    </w:rPr>
  </w:style>
  <w:style w:type="character" w:customStyle="1" w:styleId="blauundmager">
    <w:name w:val="blau und mager"/>
    <w:uiPriority w:val="99"/>
    <w:rPr>
      <w:rFonts w:ascii="Arial" w:hAnsi="Arial"/>
      <w:color w:val="0000FF"/>
      <w:sz w:val="15"/>
    </w:rPr>
  </w:style>
  <w:style w:type="character" w:customStyle="1" w:styleId="FNhochgestellt">
    <w:name w:val="FN hochgestellt"/>
    <w:uiPriority w:val="99"/>
    <w:rPr>
      <w:rFonts w:ascii="Arial" w:hAnsi="Arial" w:cs="Arial"/>
      <w:color w:val="000000"/>
      <w:sz w:val="22"/>
      <w:vertAlign w:val="superscript"/>
    </w:rPr>
  </w:style>
  <w:style w:type="character" w:customStyle="1" w:styleId="FNhochgestelltblau">
    <w:name w:val="FN hochgestellt blau"/>
    <w:uiPriority w:val="99"/>
    <w:rPr>
      <w:rFonts w:ascii="Arial" w:hAnsi="Arial"/>
      <w:color w:val="0000FF"/>
      <w:sz w:val="22"/>
      <w:vertAlign w:val="superscript"/>
    </w:rPr>
  </w:style>
  <w:style w:type="character" w:customStyle="1" w:styleId="FNhochgestelltmagerundblau">
    <w:name w:val="FN hochgestellt. mager und blau"/>
    <w:uiPriority w:val="99"/>
    <w:rPr>
      <w:rFonts w:ascii="Arial" w:hAnsi="Arial" w:cs="Arial"/>
      <w:color w:val="000000"/>
      <w:sz w:val="15"/>
      <w:vertAlign w:val="superscript"/>
    </w:rPr>
  </w:style>
  <w:style w:type="character" w:customStyle="1" w:styleId="GlgVar">
    <w:name w:val="GlgVar"/>
    <w:uiPriority w:val="99"/>
    <w:rPr>
      <w:rFonts w:asciiTheme="minorHAnsi" w:hAnsiTheme="minorHAnsi"/>
      <w:i/>
      <w:sz w:val="22"/>
    </w:rPr>
  </w:style>
  <w:style w:type="character" w:customStyle="1" w:styleId="hf">
    <w:name w:val="hf"/>
    <w:uiPriority w:val="99"/>
    <w:rPr>
      <w:rFonts w:ascii="Arial" w:hAnsi="Arial" w:cs="Arial"/>
      <w:b/>
      <w:sz w:val="22"/>
    </w:rPr>
  </w:style>
  <w:style w:type="character" w:customStyle="1" w:styleId="hfunterstrichen">
    <w:name w:val="hf unterstrichen"/>
    <w:uiPriority w:val="99"/>
    <w:rPr>
      <w:rFonts w:ascii="Arial" w:hAnsi="Arial"/>
      <w:b/>
      <w:color w:val="000000"/>
      <w:sz w:val="15"/>
      <w:u w:val="single"/>
    </w:rPr>
  </w:style>
  <w:style w:type="character" w:customStyle="1" w:styleId="kursiv">
    <w:name w:val="kursiv"/>
    <w:uiPriority w:val="99"/>
    <w:rPr>
      <w:rFonts w:ascii="Arial" w:hAnsi="Arial" w:cs="Arial"/>
      <w:i/>
      <w:sz w:val="22"/>
    </w:rPr>
  </w:style>
  <w:style w:type="character" w:customStyle="1" w:styleId="mager">
    <w:name w:val="mager"/>
    <w:uiPriority w:val="99"/>
    <w:rPr>
      <w:rFonts w:ascii="Arial" w:hAnsi="Arial"/>
      <w:color w:val="000000"/>
      <w:sz w:val="15"/>
    </w:rPr>
  </w:style>
  <w:style w:type="character" w:customStyle="1" w:styleId="magerundkursiv">
    <w:name w:val="mager und kursiv"/>
    <w:uiPriority w:val="99"/>
    <w:rPr>
      <w:rFonts w:ascii="Arial" w:hAnsi="Arial" w:cs="Arial"/>
      <w:i/>
      <w:color w:val="000000"/>
      <w:sz w:val="15"/>
    </w:rPr>
  </w:style>
  <w:style w:type="character" w:customStyle="1" w:styleId="magerundunterstrichen">
    <w:name w:val="mager und unterstrichen"/>
    <w:uiPriority w:val="99"/>
    <w:rPr>
      <w:rFonts w:ascii="Arial" w:hAnsi="Arial"/>
      <w:color w:val="000000"/>
      <w:sz w:val="15"/>
      <w:u w:val="single"/>
    </w:rPr>
  </w:style>
  <w:style w:type="character" w:customStyle="1" w:styleId="Normal1">
    <w:name w:val="Normal1"/>
    <w:uiPriority w:val="99"/>
    <w:rPr>
      <w:rFonts w:ascii="Arial" w:hAnsi="Arial" w:cs="Arial"/>
      <w:sz w:val="22"/>
    </w:rPr>
  </w:style>
  <w:style w:type="character" w:customStyle="1" w:styleId="Pantone">
    <w:name w:val="Pantone"/>
    <w:uiPriority w:val="99"/>
    <w:rPr>
      <w:rFonts w:ascii="Arial" w:hAnsi="Arial"/>
      <w:color w:val="FFA817"/>
      <w:sz w:val="18"/>
    </w:rPr>
  </w:style>
  <w:style w:type="character" w:customStyle="1" w:styleId="Punkt55">
    <w:name w:val="Punkt 5.5"/>
    <w:uiPriority w:val="99"/>
    <w:rPr>
      <w:rFonts w:ascii="Arial" w:hAnsi="Arial" w:cs="Arial"/>
      <w:color w:val="000000"/>
      <w:sz w:val="11"/>
    </w:rPr>
  </w:style>
  <w:style w:type="character" w:customStyle="1" w:styleId="Punkt65">
    <w:name w:val="Punkt 6.5"/>
    <w:uiPriority w:val="99"/>
    <w:rPr>
      <w:rFonts w:ascii="Arial" w:hAnsi="Arial"/>
      <w:color w:val="000000"/>
      <w:sz w:val="13"/>
    </w:rPr>
  </w:style>
  <w:style w:type="character" w:customStyle="1" w:styleId="Punkt60">
    <w:name w:val="Punkt 6.0"/>
    <w:uiPriority w:val="99"/>
    <w:rPr>
      <w:rFonts w:ascii="Arial" w:hAnsi="Arial" w:cs="Arial"/>
      <w:color w:val="000000"/>
      <w:sz w:val="12"/>
    </w:rPr>
  </w:style>
  <w:style w:type="character" w:customStyle="1" w:styleId="Punkt70">
    <w:name w:val="Punkt 7.0"/>
    <w:uiPriority w:val="99"/>
    <w:rPr>
      <w:rFonts w:ascii="Arial" w:hAnsi="Arial"/>
      <w:sz w:val="14"/>
    </w:rPr>
  </w:style>
  <w:style w:type="character" w:customStyle="1" w:styleId="Sternchen">
    <w:name w:val="Sternchen"/>
    <w:uiPriority w:val="99"/>
    <w:rPr>
      <w:rFonts w:ascii="Arial" w:hAnsi="Arial" w:cs="Arial"/>
      <w:b/>
      <w:color w:val="000000"/>
      <w:sz w:val="20"/>
    </w:rPr>
  </w:style>
  <w:style w:type="character" w:customStyle="1" w:styleId="Sternchenblau">
    <w:name w:val="Sternchen blau"/>
    <w:uiPriority w:val="99"/>
    <w:rPr>
      <w:rFonts w:ascii="Arial" w:hAnsi="Arial"/>
      <w:b/>
      <w:color w:val="0000FF"/>
      <w:sz w:val="20"/>
    </w:rPr>
  </w:style>
  <w:style w:type="character" w:customStyle="1" w:styleId="Unterstrichen">
    <w:name w:val="Unterstrichen"/>
    <w:uiPriority w:val="99"/>
    <w:rPr>
      <w:rFonts w:ascii="Arial" w:hAnsi="Arial" w:cs="Arial"/>
      <w:color w:val="000000"/>
      <w:sz w:val="15"/>
      <w:u w:val="single"/>
    </w:rPr>
  </w:style>
  <w:style w:type="character" w:customStyle="1" w:styleId="waldgrfcn">
    <w:name w:val="waldgrüfcn"/>
    <w:uiPriority w:val="99"/>
    <w:rPr>
      <w:rFonts w:ascii="Arial" w:hAnsi="Arial"/>
      <w:b/>
      <w:color w:val="518A51"/>
      <w:sz w:val="18"/>
    </w:rPr>
  </w:style>
  <w:style w:type="character" w:customStyle="1" w:styleId="weidf">
    <w:name w:val="weißdf"/>
    <w:uiPriority w:val="99"/>
    <w:rPr>
      <w:rFonts w:ascii="Arial" w:hAnsi="Arial" w:cs="Arial"/>
      <w:b/>
      <w:color w:val="FFFFFF"/>
      <w:sz w:val="18"/>
    </w:rPr>
  </w:style>
  <w:style w:type="character" w:customStyle="1" w:styleId="FootnoteReference">
    <w:name w:val="FootnoteReference"/>
    <w:uiPriority w:val="99"/>
    <w:rPr>
      <w:rFonts w:asciiTheme="minorHAnsi" w:hAnsiTheme="minorHAnsi"/>
      <w:sz w:val="17"/>
      <w:vertAlign w:val="superscript"/>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1617</Words>
  <Characters>10192</Characters>
  <Application>Microsoft Office Word</Application>
  <DocSecurity>0</DocSecurity>
  <Lines>84</Lines>
  <Paragraphs>23</Paragraphs>
  <ScaleCrop>false</ScaleCrop>
  <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2024-09-10T02:40:00Z</dcterms:created>
  <dcterms:modified xsi:type="dcterms:W3CDTF">2024-09-10T02:40:00Z</dcterms:modified>
</cp:coreProperties>
</file>