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"/>
      </w:tblGrid>
      <w:tr w:rsidR="00000000">
        <w:trPr>
          <w:trHeight w:val="87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:rsidR="004F42C3" w:rsidRDefault="004F42C3">
            <w:pPr>
              <w:pStyle w:val="RVtabellenanker"/>
              <w:framePr w:w="23" w:h="23" w:hRule="exact" w:wrap="notBeside" w:vAnchor="text" w:hAnchor="text"/>
              <w:widowControl/>
            </w:pPr>
          </w:p>
          <w:p w:rsidR="004F42C3" w:rsidRDefault="004F42C3">
            <w:pPr>
              <w:pStyle w:val="RVfliesstext175fl"/>
            </w:pPr>
            <w:r>
              <w:rPr>
                <w:rFonts w:cs="Arial"/>
              </w:rPr>
              <w:t>Erweiterungspr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in Latein, Griechisch, Hebr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isch</w:t>
            </w:r>
          </w:p>
          <w:p w:rsidR="004F42C3" w:rsidRDefault="004F42C3">
            <w:pPr>
              <w:pStyle w:val="RVfliesstext175nb"/>
            </w:pPr>
            <w:r>
              <w:rPr>
                <w:rFonts w:cs="Arial"/>
              </w:rPr>
              <w:t xml:space="preserve">Die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 erm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glicht Studierenden, die im Rahmen ihres Studiums bestimmte Lateinkenntnisse nachweisen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ssen, den nachtr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glichen Erwerb des Kleinen Latinums.</w:t>
            </w:r>
          </w:p>
        </w:tc>
      </w:tr>
    </w:tbl>
    <w:p w:rsidR="004F42C3" w:rsidRDefault="004F42C3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19-33 Nr. 3</w:t>
      </w:r>
    </w:p>
    <w:p w:rsidR="004F42C3" w:rsidRDefault="004F42C3">
      <w:pPr>
        <w:pStyle w:val="RVueberschrift1100fz"/>
        <w:keepNext/>
        <w:keepLines/>
        <w:rPr>
          <w:rFonts w:cs="Arial"/>
        </w:rPr>
      </w:pPr>
      <w:r>
        <w:t>Ordnung der Erweiterungspr</w:t>
      </w:r>
      <w:r>
        <w:t>ü</w:t>
      </w:r>
      <w:r>
        <w:t xml:space="preserve">fungen </w:t>
      </w:r>
      <w:r>
        <w:br/>
      </w:r>
      <w:r>
        <w:t xml:space="preserve">zum Abiturzeugnis in Lateinisch, Griechisch, </w:t>
      </w:r>
      <w:r>
        <w:br/>
        <w:t>Hebr</w:t>
      </w:r>
      <w:r>
        <w:t>ä</w:t>
      </w:r>
      <w:r>
        <w:t xml:space="preserve">isch (Latinum/Graecum/Hebraicum); </w:t>
      </w:r>
      <w:r>
        <w:br/>
      </w:r>
      <w:r>
        <w:t>Ä</w:t>
      </w:r>
      <w:r>
        <w:t>nderung</w:t>
      </w:r>
    </w:p>
    <w:p w:rsidR="004F42C3" w:rsidRDefault="004F42C3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03.05.2016 - 521-6.03.15.06-132508</w:t>
      </w:r>
    </w:p>
    <w:p w:rsidR="004F42C3" w:rsidRDefault="004F42C3">
      <w:pPr>
        <w:pStyle w:val="RVfliesstext175fl"/>
        <w:rPr>
          <w:rFonts w:cs="Arial"/>
        </w:rPr>
      </w:pPr>
      <w:r>
        <w:t>Bezug:</w:t>
      </w:r>
    </w:p>
    <w:p w:rsidR="004F42C3" w:rsidRDefault="004F42C3">
      <w:pPr>
        <w:pStyle w:val="RVfliesstext175nb"/>
        <w:rPr>
          <w:rFonts w:cs="Arial"/>
        </w:rPr>
      </w:pPr>
      <w:r>
        <w:t>RdErl. d. Kultusministeriums v. 02.04.1985 (BASS 19-33 Nr. 3)</w:t>
      </w:r>
    </w:p>
    <w:p w:rsidR="004F42C3" w:rsidRDefault="004F42C3">
      <w:pPr>
        <w:pStyle w:val="RVfliesstext175nb"/>
        <w:rPr>
          <w:rFonts w:cs="Arial"/>
        </w:rPr>
      </w:pPr>
      <w:r>
        <w:t>Der Bezugserlass wie folgt ge</w:t>
      </w:r>
      <w:r>
        <w:t>ä</w:t>
      </w:r>
      <w:r>
        <w:t>ndert:</w:t>
      </w:r>
    </w:p>
    <w:p w:rsidR="004F42C3" w:rsidRDefault="004F42C3">
      <w:pPr>
        <w:pStyle w:val="RVliste3n75nbanfang"/>
        <w:tabs>
          <w:tab w:val="clear" w:pos="720"/>
        </w:tabs>
      </w:pPr>
      <w:r>
        <w:t>1.</w:t>
      </w:r>
      <w:r>
        <w:tab/>
      </w:r>
      <w:r>
        <w:rPr>
          <w:rFonts w:cs="Arial"/>
        </w:rPr>
        <w:t xml:space="preserve">In der </w:t>
      </w:r>
      <w:r>
        <w:rPr>
          <w:rFonts w:cs="Arial"/>
        </w:rPr>
        <w:t>Ü</w:t>
      </w:r>
      <w:r>
        <w:rPr>
          <w:rFonts w:cs="Arial"/>
        </w:rPr>
        <w:t xml:space="preserve">berschrift werden nach dem Wort </w:t>
      </w:r>
      <w:r>
        <w:rPr>
          <w:rFonts w:cs="Arial"/>
        </w:rPr>
        <w:t>„</w:t>
      </w:r>
      <w:r>
        <w:rPr>
          <w:rFonts w:cs="Arial"/>
        </w:rPr>
        <w:t>Latinum/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Kleines Latinum/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:rsidR="004F42C3" w:rsidRDefault="004F42C3">
      <w:pPr>
        <w:pStyle w:val="RVliste3n75nb"/>
        <w:tabs>
          <w:tab w:val="clear" w:pos="720"/>
        </w:tabs>
      </w:pPr>
      <w:r>
        <w:t>2.</w:t>
      </w:r>
      <w:r>
        <w:tab/>
      </w:r>
      <w:r>
        <w:rPr>
          <w:rFonts w:cs="Calibri"/>
        </w:rPr>
        <w:t xml:space="preserve">Nummer 1.2 wird wie folgt gefasst: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Erweiterungspr</w:t>
      </w:r>
      <w:r>
        <w:rPr>
          <w:rFonts w:cs="Calibri"/>
        </w:rPr>
        <w:t>ü</w:t>
      </w:r>
      <w:r>
        <w:rPr>
          <w:rFonts w:cs="Calibri"/>
        </w:rPr>
        <w:t>fungen k</w:t>
      </w:r>
      <w:r>
        <w:rPr>
          <w:rFonts w:cs="Calibri"/>
        </w:rPr>
        <w:t>ö</w:t>
      </w:r>
      <w:r>
        <w:rPr>
          <w:rFonts w:cs="Calibri"/>
        </w:rPr>
        <w:t>nnen abgelegt werden als Pr</w:t>
      </w:r>
      <w:r>
        <w:rPr>
          <w:rFonts w:cs="Calibri"/>
        </w:rPr>
        <w:t>ü</w:t>
      </w:r>
      <w:r>
        <w:rPr>
          <w:rFonts w:cs="Calibri"/>
        </w:rPr>
        <w:t xml:space="preserve">fungen zum </w:t>
      </w:r>
      <w:r>
        <w:rPr>
          <w:rFonts w:cs="Calibri"/>
        </w:rPr>
        <w:br/>
        <w:t xml:space="preserve">Nachweis des Latinums </w:t>
      </w:r>
      <w:r>
        <w:rPr>
          <w:rFonts w:cs="Calibri"/>
        </w:rPr>
        <w:br/>
        <w:t>(Lateinkenntnisse gem</w:t>
      </w:r>
      <w:r>
        <w:rPr>
          <w:rFonts w:cs="Calibri"/>
        </w:rPr>
        <w:t>äß</w:t>
      </w:r>
      <w:r>
        <w:rPr>
          <w:rFonts w:cs="Calibri"/>
        </w:rPr>
        <w:t xml:space="preserve"> Beschluss der Kultusministerkonferenz vom 22. September 2005) </w:t>
      </w:r>
      <w:r>
        <w:rPr>
          <w:rFonts w:cs="Calibri"/>
        </w:rPr>
        <w:br/>
        <w:t xml:space="preserve">Nachweis des Kleinen Latinums </w:t>
      </w:r>
      <w:r>
        <w:rPr>
          <w:rFonts w:cs="Calibri"/>
        </w:rPr>
        <w:br/>
        <w:t>(Lateinkenntnisse gem</w:t>
      </w:r>
      <w:r>
        <w:rPr>
          <w:rFonts w:cs="Calibri"/>
        </w:rPr>
        <w:t>äß</w:t>
      </w:r>
      <w:r>
        <w:rPr>
          <w:rFonts w:cs="Calibri"/>
        </w:rPr>
        <w:t xml:space="preserve"> Nummer 3.2 dieses Runderlasses) </w:t>
      </w:r>
      <w:r>
        <w:rPr>
          <w:rFonts w:cs="Calibri"/>
        </w:rPr>
        <w:br/>
        <w:t xml:space="preserve">Nachweis des Graecums </w:t>
      </w:r>
      <w:r>
        <w:rPr>
          <w:rFonts w:cs="Calibri"/>
        </w:rPr>
        <w:br/>
        <w:t>(Griechischkenntnisse gem</w:t>
      </w:r>
      <w:r>
        <w:rPr>
          <w:rFonts w:cs="Calibri"/>
        </w:rPr>
        <w:t>äß</w:t>
      </w:r>
      <w:r>
        <w:rPr>
          <w:rFonts w:cs="Calibri"/>
        </w:rPr>
        <w:t xml:space="preserve"> Beschluss der Kultusministerkonferenz vom 22. September 2005) </w:t>
      </w:r>
      <w:r>
        <w:rPr>
          <w:rFonts w:cs="Calibri"/>
        </w:rPr>
        <w:br/>
        <w:t xml:space="preserve">Nachweis des Hebraicums </w:t>
      </w:r>
      <w:r>
        <w:rPr>
          <w:rFonts w:cs="Calibri"/>
        </w:rPr>
        <w:br/>
        <w:t>(Hebr</w:t>
      </w:r>
      <w:r>
        <w:rPr>
          <w:rFonts w:cs="Calibri"/>
        </w:rPr>
        <w:t>ä</w:t>
      </w:r>
      <w:r>
        <w:rPr>
          <w:rFonts w:cs="Calibri"/>
        </w:rPr>
        <w:t>ischkenntnisse gem</w:t>
      </w:r>
      <w:r>
        <w:rPr>
          <w:rFonts w:cs="Calibri"/>
        </w:rPr>
        <w:t>äß</w:t>
      </w:r>
      <w:r>
        <w:rPr>
          <w:rFonts w:cs="Calibri"/>
        </w:rPr>
        <w:t xml:space="preserve"> Nummer 3.4 dieses Runderlasses).</w:t>
      </w:r>
      <w:r>
        <w:rPr>
          <w:rFonts w:cs="Calibri"/>
        </w:rPr>
        <w:t>“</w:t>
      </w:r>
    </w:p>
    <w:p w:rsidR="004F42C3" w:rsidRDefault="004F42C3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Nach Nummer 3.1 wird folgende Nummer 3.2 eingef</w:t>
      </w:r>
      <w:r>
        <w:t>ü</w:t>
      </w:r>
      <w:r>
        <w:t xml:space="preserve">gt: </w:t>
      </w:r>
      <w:r>
        <w:br/>
      </w:r>
      <w:r>
        <w:t>„</w:t>
      </w:r>
      <w:r>
        <w:t xml:space="preserve">Das Kleine Latinum hat nachgewiesen, wer </w:t>
      </w:r>
      <w:r>
        <w:t>ü</w:t>
      </w:r>
      <w:r>
        <w:t>ber die F</w:t>
      </w:r>
      <w:r>
        <w:t>ä</w:t>
      </w:r>
      <w:r>
        <w:t>higkeit verf</w:t>
      </w:r>
      <w:r>
        <w:t>ü</w:t>
      </w:r>
      <w:r>
        <w:t>gt, lateinische Originaltexte im sprachlichen Schwierigkeitsgrad inhaltlich mittelschwerer Stellen (bezogen auf Bereiche der politischen Rede, der Philosophie und der Historiographie) mit Hilfe eines zweisprachigen W</w:t>
      </w:r>
      <w:r>
        <w:t>ö</w:t>
      </w:r>
      <w:r>
        <w:t>rterbuchs in Inhalt, Aufbau und Aussage zu erfassen und dieses Verst</w:t>
      </w:r>
      <w:r>
        <w:t>ä</w:t>
      </w:r>
      <w:r>
        <w:t xml:space="preserve">ndnis durch eine sachlich richtige und treffende </w:t>
      </w:r>
      <w:r>
        <w:t>Ü</w:t>
      </w:r>
      <w:r>
        <w:t>bersetzung ins Deutsche nachzuweisen. Hierzu werden Sicherheit in der f</w:t>
      </w:r>
      <w:r>
        <w:t>ü</w:t>
      </w:r>
      <w:r>
        <w:t>r die Texterschlie</w:t>
      </w:r>
      <w:r>
        <w:t>ß</w:t>
      </w:r>
      <w:r>
        <w:t>ung notwendigen Formenlehre und Syntax, ein ausreichender Wortschatz und die erforderlichen Kenntnisse aus den Bereichen r</w:t>
      </w:r>
      <w:r>
        <w:t>ö</w:t>
      </w:r>
      <w:r>
        <w:t>mische Politik, Geschichte, Philosophie und Literatur vorausgesetzt. Als mittelschwere Texte k</w:t>
      </w:r>
      <w:r>
        <w:t>ö</w:t>
      </w:r>
      <w:r>
        <w:t>nnen beispielsweise Texte auf dem Niveau Caesars (De Bello Gallico), Cornelius Nepos oder leichterer Stellen aus Ciceros Briefen gelten.</w:t>
      </w:r>
      <w:r>
        <w:t>“</w:t>
      </w:r>
    </w:p>
    <w:p w:rsidR="004F42C3" w:rsidRDefault="004F42C3">
      <w:pPr>
        <w:pStyle w:val="RVliste3n75nb"/>
        <w:tabs>
          <w:tab w:val="clear" w:pos="720"/>
        </w:tabs>
      </w:pPr>
      <w:r>
        <w:t>4.</w:t>
      </w:r>
      <w:r>
        <w:tab/>
      </w:r>
      <w:r>
        <w:rPr>
          <w:rFonts w:cs="Calibri"/>
        </w:rPr>
        <w:t>Die bisherigen Nummern 3.2 bis 3.4 werden zu den Nummern 3.3 bis 3.5.</w:t>
      </w:r>
    </w:p>
    <w:p w:rsidR="004F42C3" w:rsidRDefault="004F42C3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5.</w:t>
      </w:r>
      <w:r>
        <w:rPr>
          <w:rFonts w:cs="Calibri"/>
        </w:rPr>
        <w:tab/>
      </w:r>
      <w:r>
        <w:t xml:space="preserve">In Nummer 6.1 werden nach der Angabe </w:t>
      </w:r>
      <w:r>
        <w:t>„</w:t>
      </w:r>
      <w:r>
        <w:t>180 W</w:t>
      </w:r>
      <w:r>
        <w:t>ö</w:t>
      </w:r>
      <w:r>
        <w:t>rtern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(Latinum) oder etwa 120 W</w:t>
      </w:r>
      <w:r>
        <w:t>ö</w:t>
      </w:r>
      <w:r>
        <w:t>rtern (Kleines Latinum)</w:t>
      </w:r>
      <w:r>
        <w:t>“</w:t>
      </w:r>
      <w:r>
        <w:t xml:space="preserve"> eingef</w:t>
      </w:r>
      <w:r>
        <w:t>ü</w:t>
      </w:r>
      <w:r>
        <w:t>gt.</w:t>
      </w:r>
    </w:p>
    <w:p w:rsidR="004F42C3" w:rsidRDefault="004F42C3">
      <w:pPr>
        <w:pStyle w:val="RVliste3n75nb"/>
        <w:tabs>
          <w:tab w:val="clear" w:pos="720"/>
        </w:tabs>
      </w:pPr>
      <w:r>
        <w:t>6.</w:t>
      </w:r>
      <w:r>
        <w:tab/>
      </w:r>
      <w:r>
        <w:rPr>
          <w:rFonts w:cs="Calibri"/>
        </w:rPr>
        <w:t>In Nummer 6.2 wird nach Satz 1 folgender Satz 2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das Kleine Latinum betr</w:t>
      </w:r>
      <w:r>
        <w:rPr>
          <w:rFonts w:cs="Calibri"/>
        </w:rPr>
        <w:t>ä</w:t>
      </w:r>
      <w:r>
        <w:rPr>
          <w:rFonts w:cs="Calibri"/>
        </w:rPr>
        <w:t>gt die Arbeitszeit zwei Zeitstunden.</w:t>
      </w:r>
      <w:r>
        <w:rPr>
          <w:rFonts w:cs="Calibri"/>
        </w:rPr>
        <w:t>“</w:t>
      </w:r>
    </w:p>
    <w:p w:rsidR="004F42C3" w:rsidRDefault="004F42C3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7.</w:t>
      </w:r>
      <w:r>
        <w:rPr>
          <w:rFonts w:cs="Calibri"/>
        </w:rPr>
        <w:tab/>
      </w:r>
      <w:r>
        <w:t xml:space="preserve">In Nummer 9.2 wird die Angabe </w:t>
      </w:r>
      <w:r>
        <w:t>„</w:t>
      </w:r>
      <w:r>
        <w:t>3.4</w:t>
      </w:r>
      <w:r>
        <w:t>“</w:t>
      </w:r>
      <w:r>
        <w:t xml:space="preserve"> durch die Angabe </w:t>
      </w:r>
      <w:r>
        <w:t>„</w:t>
      </w:r>
      <w:r>
        <w:t>3.5</w:t>
      </w:r>
      <w:r>
        <w:t>“</w:t>
      </w:r>
      <w:r>
        <w:t xml:space="preserve"> ersetzt.</w:t>
      </w:r>
    </w:p>
    <w:p w:rsidR="004F42C3" w:rsidRDefault="004F42C3">
      <w:pPr>
        <w:pStyle w:val="RVliste3n75nb"/>
        <w:tabs>
          <w:tab w:val="clear" w:pos="720"/>
        </w:tabs>
      </w:pPr>
      <w:r>
        <w:t>8.</w:t>
      </w:r>
      <w:r>
        <w:tab/>
      </w:r>
      <w:r>
        <w:rPr>
          <w:rFonts w:cs="Calibri"/>
        </w:rPr>
        <w:t>In Nummer 11.1 wird nach Satz 1 folgender Satz 2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Abweichend von Satz 1 kann die nichtbestandene Pr</w:t>
      </w:r>
      <w:r>
        <w:rPr>
          <w:rFonts w:cs="Calibri"/>
        </w:rPr>
        <w:t>ü</w:t>
      </w:r>
      <w:r>
        <w:rPr>
          <w:rFonts w:cs="Calibri"/>
        </w:rPr>
        <w:t>fung zum Nachweis des Kleinen Latinums unbegrenzt wiederholt werden.</w:t>
      </w:r>
      <w:r>
        <w:rPr>
          <w:rFonts w:cs="Calibri"/>
        </w:rPr>
        <w:t>“</w:t>
      </w:r>
    </w:p>
    <w:p w:rsidR="004F42C3" w:rsidRDefault="004F42C3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9.</w:t>
      </w:r>
      <w:r>
        <w:rPr>
          <w:rFonts w:cs="Calibri"/>
        </w:rPr>
        <w:tab/>
      </w:r>
      <w:r>
        <w:t>Nummer 11.2 wird wie folgt ge</w:t>
      </w:r>
      <w:r>
        <w:t>ä</w:t>
      </w:r>
      <w:r>
        <w:t>ndert:</w:t>
      </w:r>
    </w:p>
    <w:p w:rsidR="004F42C3" w:rsidRDefault="004F42C3">
      <w:pPr>
        <w:pStyle w:val="RVliste2a75nbanfang"/>
        <w:tabs>
          <w:tab w:val="clear" w:pos="720"/>
        </w:tabs>
      </w:pPr>
      <w:r>
        <w:t>a)</w:t>
      </w:r>
      <w:r>
        <w:rPr>
          <w:rFonts w:cs="Calibri"/>
        </w:rPr>
        <w:tab/>
        <w:t xml:space="preserve">Das Wort </w:t>
      </w:r>
      <w:r>
        <w:rPr>
          <w:rFonts w:cs="Calibri"/>
        </w:rPr>
        <w:t>„</w:t>
      </w:r>
      <w:r>
        <w:rPr>
          <w:rFonts w:cs="Calibri"/>
        </w:rPr>
        <w:t>Die</w:t>
      </w:r>
      <w:r>
        <w:rPr>
          <w:rFonts w:cs="Calibri"/>
        </w:rPr>
        <w:t>“</w:t>
      </w:r>
      <w:r>
        <w:rPr>
          <w:rFonts w:cs="Calibri"/>
        </w:rPr>
        <w:t xml:space="preserve"> wird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In den F</w:t>
      </w:r>
      <w:r>
        <w:rPr>
          <w:rFonts w:cs="Calibri"/>
        </w:rPr>
        <w:t>ä</w:t>
      </w:r>
      <w:r>
        <w:rPr>
          <w:rFonts w:cs="Calibri"/>
        </w:rPr>
        <w:t>llen der Nummer 11.1 Satz 1 kann die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4F42C3" w:rsidRDefault="004F42C3">
      <w:pPr>
        <w:pStyle w:val="RVliste2a75nb"/>
        <w:tabs>
          <w:tab w:val="clear" w:pos="720"/>
        </w:tabs>
      </w:pPr>
      <w:r>
        <w:t>b)</w:t>
      </w:r>
      <w:r>
        <w:rPr>
          <w:rFonts w:cs="Arial"/>
        </w:rPr>
        <w:tab/>
        <w:t xml:space="preserve">Das Wort </w:t>
      </w:r>
      <w:r>
        <w:rPr>
          <w:rFonts w:cs="Arial"/>
        </w:rPr>
        <w:t>„</w:t>
      </w:r>
      <w:r>
        <w:rPr>
          <w:rFonts w:cs="Arial"/>
        </w:rPr>
        <w:t>kann</w:t>
      </w:r>
      <w:r>
        <w:rPr>
          <w:rFonts w:cs="Arial"/>
        </w:rPr>
        <w:t>“</w:t>
      </w:r>
      <w:r>
        <w:rPr>
          <w:rFonts w:cs="Arial"/>
        </w:rPr>
        <w:t xml:space="preserve"> wird gestrichen.</w:t>
      </w:r>
    </w:p>
    <w:p w:rsidR="004F42C3" w:rsidRDefault="004F42C3">
      <w:pPr>
        <w:pStyle w:val="RVliste3n75nb"/>
        <w:tabs>
          <w:tab w:val="clear" w:pos="720"/>
        </w:tabs>
      </w:pPr>
      <w:r>
        <w:t>10.</w:t>
      </w:r>
      <w:r>
        <w:tab/>
      </w:r>
      <w:r>
        <w:rPr>
          <w:rFonts w:cs="Calibri"/>
        </w:rPr>
        <w:t>Anlage 1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:rsidR="004F42C3" w:rsidRDefault="004F42C3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Calibri"/>
        </w:rPr>
      </w:pPr>
      <w:bookmarkStart w:id="0" w:name="A1"/>
      <w:r>
        <w:rPr>
          <w:rFonts w:cs="Calibri"/>
        </w:rPr>
        <w:t>Anlage 1</w:t>
      </w:r>
      <w:bookmarkEnd w:id="0"/>
      <w:r>
        <w:rPr>
          <w:noProof/>
        </w:rPr>
        <w:drawing>
          <wp:inline distT="0" distB="0" distL="0" distR="0">
            <wp:extent cx="3067050" cy="4381500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" t="4735" r="7883" b="7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C3" w:rsidRDefault="004F42C3">
      <w:pPr>
        <w:pStyle w:val="RVfliesstext175nb"/>
        <w:rPr>
          <w:rFonts w:cs="Arial"/>
        </w:rPr>
      </w:pPr>
    </w:p>
    <w:p w:rsidR="004F42C3" w:rsidRDefault="004F42C3">
      <w:pPr>
        <w:pStyle w:val="RVfliesstext175nb"/>
        <w:rPr>
          <w:rFonts w:cs="Arial"/>
        </w:rPr>
      </w:pPr>
      <w:r>
        <w:t>ABl. NRW. 06/2016 S. 44</w:t>
      </w:r>
    </w:p>
    <w:sectPr w:rsidR="00000000">
      <w:footerReference w:type="even" r:id="rId8"/>
      <w:footerReference w:type="default" r:id="rId9"/>
      <w:footerReference w:type="first" r:id="rId10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42C3" w:rsidRDefault="004F42C3">
      <w:r>
        <w:separator/>
      </w:r>
    </w:p>
  </w:endnote>
  <w:endnote w:type="continuationSeparator" w:id="0">
    <w:p w:rsidR="004F42C3" w:rsidRDefault="004F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42C3" w:rsidRDefault="004F42C3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42C3" w:rsidRDefault="004F42C3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42C3" w:rsidRDefault="004F42C3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42C3" w:rsidRDefault="004F42C3">
      <w:r>
        <w:separator/>
      </w:r>
    </w:p>
  </w:footnote>
  <w:footnote w:type="continuationSeparator" w:id="0">
    <w:p w:rsidR="004F42C3" w:rsidRDefault="004F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463BF"/>
    <w:rsid w:val="004F42C3"/>
    <w:rsid w:val="008463BF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2024-09-10T02:40:00Z</dcterms:created>
  <dcterms:modified xsi:type="dcterms:W3CDTF">2024-09-10T02:40:00Z</dcterms:modified>
</cp:coreProperties>
</file>