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C1C6" w14:textId="77777777" w:rsidR="0065342D" w:rsidRDefault="0065342D">
      <w:pPr>
        <w:pStyle w:val="BASS-Nr-ABl"/>
        <w:tabs>
          <w:tab w:val="clear" w:pos="720"/>
        </w:tabs>
      </w:pPr>
      <w:r>
        <w:rPr>
          <w:rFonts w:cs="Arial"/>
        </w:rPr>
        <w:t>Zu BASS 13-31 Nr. 1</w:t>
      </w:r>
    </w:p>
    <w:p w14:paraId="113AA8FE" w14:textId="77777777" w:rsidR="0065342D" w:rsidRDefault="0065342D">
      <w:pPr>
        <w:pStyle w:val="RVueberschrift1100fz"/>
        <w:keepNext/>
        <w:keepLines/>
      </w:pPr>
      <w:r>
        <w:rPr>
          <w:rFonts w:cs="Arial"/>
        </w:rPr>
        <w:t xml:space="preserve">Ausbildungsordnung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das gelenkte Praktikum zum Erwerb der Fachhochschulreife </w:t>
      </w:r>
      <w:r>
        <w:rPr>
          <w:rFonts w:cs="Arial"/>
        </w:rPr>
        <w:br/>
        <w:t>sowie Zust</w:t>
      </w:r>
      <w:r>
        <w:rPr>
          <w:rFonts w:cs="Arial"/>
        </w:rPr>
        <w:t>ä</w:t>
      </w:r>
      <w:r>
        <w:rPr>
          <w:rFonts w:cs="Arial"/>
        </w:rPr>
        <w:t>ndigkeiten f</w:t>
      </w:r>
      <w:r>
        <w:rPr>
          <w:rFonts w:cs="Arial"/>
        </w:rPr>
        <w:t>ü</w:t>
      </w:r>
      <w:r>
        <w:rPr>
          <w:rFonts w:cs="Arial"/>
        </w:rPr>
        <w:t xml:space="preserve">r die Zuerkennung der Fachhochschulreife </w:t>
      </w:r>
      <w:r>
        <w:rPr>
          <w:rFonts w:cs="Arial"/>
        </w:rPr>
        <w:br/>
        <w:t xml:space="preserve">(Praktikum-Ausbildungsordnung);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1271C682" w14:textId="77777777" w:rsidR="0065342D" w:rsidRDefault="0065342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18.12.2015 - 312-6.03.07.03.03-40000</w:t>
      </w:r>
    </w:p>
    <w:p w14:paraId="31D91F7A" w14:textId="77777777" w:rsidR="0065342D" w:rsidRDefault="0065342D">
      <w:pPr>
        <w:pStyle w:val="RVfliesstext175fl"/>
      </w:pPr>
      <w:r>
        <w:rPr>
          <w:rFonts w:cs="Arial"/>
        </w:rPr>
        <w:t>Bezug:</w:t>
      </w:r>
    </w:p>
    <w:p w14:paraId="71995246" w14:textId="77777777" w:rsidR="0065342D" w:rsidRDefault="0065342D">
      <w:pPr>
        <w:pStyle w:val="RVfliesstext175nl"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11.12.2006 (BASS 13-31 Nr. 1)</w:t>
      </w:r>
    </w:p>
    <w:p w14:paraId="21F64829" w14:textId="77777777" w:rsidR="0065342D" w:rsidRDefault="0065342D">
      <w:pPr>
        <w:pStyle w:val="RVAnlagenabstandleer75"/>
      </w:pPr>
      <w:r>
        <w:rPr>
          <w:rFonts w:cs="Arial"/>
          <w:sz w:val="15"/>
        </w:rPr>
        <w:t>Der o.a. Bezugserlass wird wie folgt ge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ndert:</w:t>
      </w:r>
    </w:p>
    <w:p w14:paraId="003B02C6" w14:textId="77777777" w:rsidR="0065342D" w:rsidRDefault="0065342D">
      <w:pPr>
        <w:pStyle w:val="RVAnlagenabstandleer75"/>
      </w:pPr>
      <w:r>
        <w:rPr>
          <w:rFonts w:cs="Arial"/>
          <w:sz w:val="15"/>
        </w:rPr>
        <w:t xml:space="preserve">1. Im Erlass und in den Anlagen werden der Begriff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Fachrichtung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und    das Adjektiv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fachrichtungsbezogen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durch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Fachbereich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und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fachbereichsbezogen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jeweils in korrekter grammatikalischer Form ersetzt.</w:t>
      </w:r>
    </w:p>
    <w:p w14:paraId="72E60A0B" w14:textId="77777777" w:rsidR="0065342D" w:rsidRDefault="0065342D">
      <w:pPr>
        <w:pStyle w:val="RVAnlagenabstandleer75"/>
      </w:pPr>
      <w:r>
        <w:rPr>
          <w:rFonts w:cs="Arial"/>
          <w:sz w:val="15"/>
        </w:rPr>
        <w:t xml:space="preserve">2. In Abschnitt I Nummer 3 letzter Satz wird die Angabe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Anlage 2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durch die Angabe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Anlagen 2.1 und 2.5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ersetzt.</w:t>
      </w:r>
    </w:p>
    <w:p w14:paraId="7E1C36F7" w14:textId="77777777" w:rsidR="0065342D" w:rsidRDefault="0065342D">
      <w:pPr>
        <w:pStyle w:val="RVAnlagenabstandleer75"/>
      </w:pPr>
      <w:r>
        <w:rPr>
          <w:rFonts w:cs="Arial"/>
          <w:sz w:val="15"/>
        </w:rPr>
        <w:t xml:space="preserve">3. In Abschnitt II Nummer 1 werden nach der Angabe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Nummer 1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die Worte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 xml:space="preserve">in Verbindung mit </w:t>
      </w:r>
      <w:r>
        <w:rPr>
          <w:rFonts w:cs="Arial"/>
          <w:sz w:val="15"/>
        </w:rPr>
        <w:t>§</w:t>
      </w:r>
      <w:r>
        <w:rPr>
          <w:rFonts w:cs="Arial"/>
          <w:sz w:val="15"/>
        </w:rPr>
        <w:t xml:space="preserve"> 9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eingef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gt.</w:t>
      </w:r>
    </w:p>
    <w:p w14:paraId="1B758A68" w14:textId="77777777" w:rsidR="0065342D" w:rsidRDefault="0065342D">
      <w:pPr>
        <w:pStyle w:val="RVAnlagenabstandleer75"/>
      </w:pPr>
      <w:r>
        <w:rPr>
          <w:rFonts w:cs="Arial"/>
          <w:sz w:val="15"/>
        </w:rPr>
        <w:t>4. Abschnitt III wird wie folgt ge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ndert:</w:t>
      </w:r>
    </w:p>
    <w:p w14:paraId="074B882F" w14:textId="77777777" w:rsidR="0065342D" w:rsidRDefault="0065342D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 xml:space="preserve">In Nummer 1 werden nach der Angabe </w:t>
      </w:r>
      <w:r>
        <w:rPr>
          <w:rFonts w:cs="Calibri"/>
        </w:rPr>
        <w:t>„</w:t>
      </w:r>
      <w:r>
        <w:rPr>
          <w:rFonts w:cs="Calibri"/>
        </w:rPr>
        <w:t>Nummer 3</w:t>
      </w:r>
      <w:r>
        <w:rPr>
          <w:rFonts w:cs="Calibri"/>
        </w:rPr>
        <w:t>“</w:t>
      </w:r>
      <w:r>
        <w:rPr>
          <w:rFonts w:cs="Calibri"/>
        </w:rPr>
        <w:t xml:space="preserve"> die Worte </w:t>
      </w:r>
      <w:r>
        <w:rPr>
          <w:rFonts w:cs="Calibri"/>
        </w:rPr>
        <w:t>„</w:t>
      </w:r>
      <w:r>
        <w:rPr>
          <w:rFonts w:cs="Calibri"/>
        </w:rPr>
        <w:t xml:space="preserve">in Verbindung mit </w:t>
      </w:r>
      <w:r>
        <w:rPr>
          <w:rFonts w:cs="Calibri"/>
        </w:rPr>
        <w:t>§</w:t>
      </w:r>
      <w:r>
        <w:rPr>
          <w:rFonts w:cs="Calibri"/>
        </w:rPr>
        <w:t xml:space="preserve"> 3 Absatz 1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77B422BA" w14:textId="77777777" w:rsidR="0065342D" w:rsidRDefault="0065342D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>In Nummer 1 wird nach der ersten Klammerangabe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in Verbindung mit </w:t>
      </w:r>
      <w:r>
        <w:rPr>
          <w:rFonts w:cs="Arial"/>
        </w:rPr>
        <w:t>§</w:t>
      </w:r>
      <w:r>
        <w:rPr>
          <w:rFonts w:cs="Arial"/>
        </w:rPr>
        <w:t xml:space="preserve"> 4 Gleichwertigkeitsverordnung (BASS 13-73 Nr. 22.1)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54A5277D" w14:textId="77777777" w:rsidR="0065342D" w:rsidRDefault="0065342D">
      <w:pPr>
        <w:pStyle w:val="RVAnlagenabstandleer75"/>
      </w:pPr>
      <w:r>
        <w:rPr>
          <w:rFonts w:cs="Arial"/>
          <w:sz w:val="15"/>
        </w:rPr>
        <w:t>5. Abschnitt IV wird wie folgt ge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ndert:</w:t>
      </w:r>
    </w:p>
    <w:p w14:paraId="5EE8D23B" w14:textId="77777777" w:rsidR="0065342D" w:rsidRDefault="0065342D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>In Nummer 1 Satz 3 werden in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Diese berechtigen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4 Gleichwertigkeitsverordnung berechtigen diese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4D609E3" w14:textId="77777777" w:rsidR="0065342D" w:rsidRDefault="0065342D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 xml:space="preserve">In Nummer 3 Absatz 1 werden nach der Angabe </w:t>
      </w:r>
      <w:r>
        <w:rPr>
          <w:rFonts w:cs="Arial"/>
        </w:rPr>
        <w:t>„§</w:t>
      </w:r>
      <w:r>
        <w:rPr>
          <w:rFonts w:cs="Arial"/>
        </w:rPr>
        <w:t xml:space="preserve"> 40 a APO-GOSt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, </w:t>
      </w:r>
      <w:r>
        <w:rPr>
          <w:rFonts w:cs="Arial"/>
        </w:rPr>
        <w:t>§</w:t>
      </w:r>
      <w:r>
        <w:rPr>
          <w:rFonts w:cs="Arial"/>
        </w:rPr>
        <w:t xml:space="preserve"> 22 Absatz 2 PO-Waldorf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424604E2" w14:textId="77777777" w:rsidR="0065342D" w:rsidRDefault="0065342D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c)</w:t>
      </w:r>
      <w:r>
        <w:tab/>
        <w:t xml:space="preserve">Nummer 4 Satz 1 wird wie folgt gefasst: </w:t>
      </w:r>
      <w:r>
        <w:t>„</w:t>
      </w:r>
      <w:r>
        <w:t>Praktikantinnen und Praktikanten, die den schulischen Teil der Fachhochschulreife nach den in Nummer 1 aufgef</w:t>
      </w:r>
      <w:r>
        <w:t>ü</w:t>
      </w:r>
      <w:r>
        <w:t>hrten Bestimmungen erworben haben, k</w:t>
      </w:r>
      <w:r>
        <w:t>ö</w:t>
      </w:r>
      <w:r>
        <w:t>nnen nach den folgenden Vorgaben den praktischen Teil der Fachhochschulreife absolvieren.</w:t>
      </w:r>
      <w:r>
        <w:t>“</w:t>
      </w:r>
    </w:p>
    <w:p w14:paraId="13362D84" w14:textId="77777777" w:rsidR="0065342D" w:rsidRDefault="0065342D">
      <w:pPr>
        <w:pStyle w:val="RVliste2a75nb"/>
        <w:tabs>
          <w:tab w:val="clear" w:pos="720"/>
        </w:tabs>
      </w:pPr>
      <w:r>
        <w:t>d)</w:t>
      </w:r>
      <w:r>
        <w:rPr>
          <w:rFonts w:cs="Arial"/>
        </w:rPr>
        <w:tab/>
        <w:t>Nummer 4 Buchstabe b)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  <w:r>
        <w:rPr>
          <w:rFonts w:cs="Arial"/>
        </w:rPr>
        <w:t>„</w:t>
      </w:r>
      <w:r>
        <w:rPr>
          <w:rFonts w:cs="Arial"/>
        </w:rPr>
        <w:t>nach den Vorgaben der Anlage 1 in allen Fachbereichen.</w:t>
      </w:r>
      <w:r>
        <w:rPr>
          <w:rFonts w:cs="Arial"/>
        </w:rPr>
        <w:t>“</w:t>
      </w:r>
    </w:p>
    <w:p w14:paraId="207CEB82" w14:textId="77777777" w:rsidR="0065342D" w:rsidRDefault="0065342D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e)</w:t>
      </w:r>
      <w:r>
        <w:tab/>
        <w:t>Nummer 5 Absatz 2 erh</w:t>
      </w:r>
      <w:r>
        <w:t>ä</w:t>
      </w:r>
      <w:r>
        <w:t>lt folgende Fassung:</w:t>
      </w:r>
    </w:p>
    <w:p w14:paraId="7363A9CC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„</w:t>
      </w:r>
      <w:r>
        <w:rPr>
          <w:sz w:val="15"/>
        </w:rPr>
        <w:t>Einem einj</w:t>
      </w:r>
      <w:r>
        <w:rPr>
          <w:sz w:val="15"/>
        </w:rPr>
        <w:t>ä</w:t>
      </w:r>
      <w:r>
        <w:rPr>
          <w:sz w:val="15"/>
        </w:rPr>
        <w:t>hrigen Praktikum sind gleichgestellt:</w:t>
      </w:r>
    </w:p>
    <w:p w14:paraId="5175F391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a) die mindestens einj</w:t>
      </w:r>
      <w:r>
        <w:rPr>
          <w:sz w:val="15"/>
        </w:rPr>
        <w:t>ä</w:t>
      </w:r>
      <w:r>
        <w:rPr>
          <w:sz w:val="15"/>
        </w:rPr>
        <w:t>hrige kontinuierliche Teilnahme an einer Berufsausbildung nach Bundes- oder Landesrecht,</w:t>
      </w:r>
    </w:p>
    <w:p w14:paraId="350DD047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b) ein mindestens einj</w:t>
      </w:r>
      <w:r>
        <w:rPr>
          <w:sz w:val="15"/>
        </w:rPr>
        <w:t>ä</w:t>
      </w:r>
      <w:r>
        <w:rPr>
          <w:sz w:val="15"/>
        </w:rPr>
        <w:t xml:space="preserve">hriges freiwilliges abgeleistetes soziales oder </w:t>
      </w:r>
      <w:r>
        <w:rPr>
          <w:sz w:val="15"/>
        </w:rPr>
        <w:t>ö</w:t>
      </w:r>
      <w:r>
        <w:rPr>
          <w:sz w:val="15"/>
        </w:rPr>
        <w:t>kologisches Jahr und</w:t>
      </w:r>
    </w:p>
    <w:p w14:paraId="6DFBFC05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c) Wehr- oder Zivildienst sowie der Bundesfreiwilligendienst von mindestens einem Jahr Dauer.</w:t>
      </w:r>
      <w:r>
        <w:rPr>
          <w:sz w:val="15"/>
        </w:rPr>
        <w:t>“</w:t>
      </w:r>
    </w:p>
    <w:p w14:paraId="77004FE9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6. Der Anlage 1 wird folgender Absatz angef</w:t>
      </w:r>
      <w:r>
        <w:rPr>
          <w:sz w:val="15"/>
        </w:rPr>
        <w:t>ü</w:t>
      </w:r>
      <w:r>
        <w:rPr>
          <w:sz w:val="15"/>
        </w:rPr>
        <w:t>gt:</w:t>
      </w:r>
    </w:p>
    <w:p w14:paraId="6206A6D6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„Ü</w:t>
      </w:r>
      <w:r>
        <w:rPr>
          <w:sz w:val="15"/>
        </w:rPr>
        <w:t>ber die vorstehenden Fachbereiche hinaus k</w:t>
      </w:r>
      <w:r>
        <w:rPr>
          <w:sz w:val="15"/>
        </w:rPr>
        <w:t>ö</w:t>
      </w:r>
      <w:r>
        <w:rPr>
          <w:sz w:val="15"/>
        </w:rPr>
        <w:t>nnen Absolventinnen und Absolventen nach Abschnitt IV das Praktikum auch im Fachbereich Informatik absolvieren.</w:t>
      </w:r>
    </w:p>
    <w:p w14:paraId="343B5010" w14:textId="77777777" w:rsidR="0065342D" w:rsidRDefault="0065342D">
      <w:pPr>
        <w:pStyle w:val="RVueberschrift285fz"/>
        <w:keepNext/>
        <w:keepLines/>
        <w:rPr>
          <w:rFonts w:cs="Arial"/>
        </w:rPr>
      </w:pPr>
      <w:r>
        <w:t>Fachbereich Informatik</w:t>
      </w:r>
    </w:p>
    <w:p w14:paraId="627B3400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Das Praktikum soll in einem Betrieb der Informations- und Kommunikationstechnik oder entsprechenden Fachabteilungen anderer Betriebe oder Einrichtungen abgeleistet werden.</w:t>
      </w:r>
    </w:p>
    <w:p w14:paraId="2B86DB10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>Die Praktikantin bzw. der Praktikant soll Kenntnisse, Fertigkeiten und F</w:t>
      </w:r>
      <w:r>
        <w:rPr>
          <w:sz w:val="15"/>
        </w:rPr>
        <w:t>ä</w:t>
      </w:r>
      <w:r>
        <w:rPr>
          <w:sz w:val="15"/>
        </w:rPr>
        <w:t>higkeiten durch die Mitwirkung bei der Planung, Durchf</w:t>
      </w:r>
      <w:r>
        <w:rPr>
          <w:sz w:val="15"/>
        </w:rPr>
        <w:t>ü</w:t>
      </w:r>
      <w:r>
        <w:rPr>
          <w:sz w:val="15"/>
        </w:rPr>
        <w:t>hrung und Evaluation exemplarischer Prozesse in der Informations- und Kommunikationstechnik erwerben.</w:t>
      </w:r>
    </w:p>
    <w:p w14:paraId="6F8EC056" w14:textId="77777777" w:rsidR="0065342D" w:rsidRDefault="0065342D">
      <w:pPr>
        <w:pStyle w:val="RVAnlagenabstandleer75"/>
        <w:rPr>
          <w:rFonts w:cs="Arial"/>
        </w:rPr>
      </w:pPr>
      <w:r>
        <w:rPr>
          <w:sz w:val="15"/>
        </w:rPr>
        <w:t xml:space="preserve">Diese Prozesse beziehen sich beispielsweise auf die </w:t>
      </w:r>
    </w:p>
    <w:p w14:paraId="5275A70A" w14:textId="77777777" w:rsidR="0065342D" w:rsidRDefault="0065342D">
      <w:pPr>
        <w:pStyle w:val="RVliste3u75nl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Gegen</w:t>
      </w:r>
      <w:r>
        <w:t>ü</w:t>
      </w:r>
      <w:r>
        <w:t>berstellung und den Vergleich marktg</w:t>
      </w:r>
      <w:r>
        <w:t>ä</w:t>
      </w:r>
      <w:r>
        <w:t>ngiger Systeme der Informations- und Telekommunikationstechnik,</w:t>
      </w:r>
    </w:p>
    <w:p w14:paraId="069617F5" w14:textId="77777777" w:rsidR="0065342D" w:rsidRDefault="0065342D">
      <w:pPr>
        <w:pStyle w:val="RVliste3u75nl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Auswahl informations- und telekommunikationstechnischer Systeme f</w:t>
      </w:r>
      <w:r>
        <w:rPr>
          <w:rFonts w:cs="Calibri"/>
        </w:rPr>
        <w:t>ü</w:t>
      </w:r>
      <w:r>
        <w:rPr>
          <w:rFonts w:cs="Calibri"/>
        </w:rPr>
        <w:t>r Kunden oder die eigene Nutzung,</w:t>
      </w:r>
    </w:p>
    <w:p w14:paraId="4721C601" w14:textId="77777777" w:rsidR="0065342D" w:rsidRDefault="0065342D">
      <w:pPr>
        <w:pStyle w:val="RVliste3u75nl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Konfiguration und Installation informations- und telekommunikationstechnischer Systeme bez</w:t>
      </w:r>
      <w:r>
        <w:t>ü</w:t>
      </w:r>
      <w:r>
        <w:t>glich Hardware, Betriebssysteme, Anwendungssoftware sowie deren Vernetzung f</w:t>
      </w:r>
      <w:r>
        <w:t>ü</w:t>
      </w:r>
      <w:r>
        <w:t>r Kunden oder die eigene Nutzung,</w:t>
      </w:r>
    </w:p>
    <w:p w14:paraId="75B5F072" w14:textId="77777777" w:rsidR="0065342D" w:rsidRDefault="0065342D">
      <w:pPr>
        <w:pStyle w:val="RVliste3u75nl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Erstellung von softwaregest</w:t>
      </w:r>
      <w:r>
        <w:rPr>
          <w:rFonts w:cs="Calibri"/>
        </w:rPr>
        <w:t>ü</w:t>
      </w:r>
      <w:r>
        <w:rPr>
          <w:rFonts w:cs="Calibri"/>
        </w:rPr>
        <w:t>tzten Systeml</w:t>
      </w:r>
      <w:r>
        <w:rPr>
          <w:rFonts w:cs="Calibri"/>
        </w:rPr>
        <w:t>ö</w:t>
      </w:r>
      <w:r>
        <w:rPr>
          <w:rFonts w:cs="Calibri"/>
        </w:rPr>
        <w:t>sungen unter Nutzung von Software-Entwicklungswerkzeugen f</w:t>
      </w:r>
      <w:r>
        <w:rPr>
          <w:rFonts w:cs="Calibri"/>
        </w:rPr>
        <w:t>ü</w:t>
      </w:r>
      <w:r>
        <w:rPr>
          <w:rFonts w:cs="Calibri"/>
        </w:rPr>
        <w:t>r Kunden oder die eigene Nutzung,</w:t>
      </w:r>
    </w:p>
    <w:p w14:paraId="5FD64EAE" w14:textId="77777777" w:rsidR="0065342D" w:rsidRDefault="0065342D">
      <w:pPr>
        <w:pStyle w:val="RVliste3u75nl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Wartung eigener kundenspezifischer informations- und telekommunikationstechnischer Systeme,</w:t>
      </w:r>
    </w:p>
    <w:p w14:paraId="3B95606C" w14:textId="77777777" w:rsidR="0065342D" w:rsidRDefault="0065342D">
      <w:pPr>
        <w:pStyle w:val="RVliste3u75nl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weiteren spezifischen informations- und telekommunikationstechnischen Systeme des Betriebes bzw. der Einrichtung.</w:t>
      </w:r>
    </w:p>
    <w:p w14:paraId="6CA0E8B2" w14:textId="77777777" w:rsidR="0065342D" w:rsidRDefault="0065342D">
      <w:pPr>
        <w:pStyle w:val="RVliste3u75nl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Ma</w:t>
      </w:r>
      <w:r>
        <w:t>ß</w:t>
      </w:r>
      <w:r>
        <w:t>nahmen der Digitalisierung</w:t>
      </w:r>
    </w:p>
    <w:p w14:paraId="740BF038" w14:textId="77777777" w:rsidR="0065342D" w:rsidRDefault="0065342D">
      <w:pPr>
        <w:pStyle w:val="RVAnlagenabstandleer75"/>
      </w:pPr>
      <w:r>
        <w:rPr>
          <w:rFonts w:cs="Arial"/>
          <w:sz w:val="15"/>
        </w:rPr>
        <w:t>7. Die Anlage 2.3 wird neu gefasst (siehe Anlage).</w:t>
      </w:r>
    </w:p>
    <w:p w14:paraId="090B826B" w14:textId="77777777" w:rsidR="0065342D" w:rsidRDefault="0065342D">
      <w:pPr>
        <w:pStyle w:val="RVAnlagenabstandleer75"/>
      </w:pPr>
      <w:r>
        <w:rPr>
          <w:rFonts w:cs="Arial"/>
          <w:sz w:val="15"/>
        </w:rPr>
        <w:t xml:space="preserve">8. In der Anlage 2.4 wird vor der Angabe </w:t>
      </w:r>
      <w:r>
        <w:rPr>
          <w:rFonts w:cs="Arial"/>
          <w:sz w:val="15"/>
        </w:rPr>
        <w:t>„§</w:t>
      </w:r>
      <w:r>
        <w:rPr>
          <w:rFonts w:cs="Arial"/>
          <w:sz w:val="15"/>
        </w:rPr>
        <w:t xml:space="preserve"> 2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folgender Absatz eingef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 xml:space="preserve">gt: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Das Praktikum dient ausschlie</w:t>
      </w:r>
      <w:r>
        <w:rPr>
          <w:rFonts w:cs="Arial"/>
          <w:sz w:val="15"/>
        </w:rPr>
        <w:t>ß</w:t>
      </w:r>
      <w:r>
        <w:rPr>
          <w:rFonts w:cs="Arial"/>
          <w:sz w:val="15"/>
        </w:rPr>
        <w:t xml:space="preserve">lich dem Erwerb der Fachhochschulreife nach den Bestimmungen der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 xml:space="preserve">Verordnung 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ber die Gleichwertigkeit von Bildungsnachweisen mit der Hochschulreife und der Fachhochschulreife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des Ministeriums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Schule und Weiterbildung (BASS 13-73 Nr. 22.1).</w:t>
      </w:r>
      <w:r>
        <w:rPr>
          <w:rFonts w:cs="Arial"/>
          <w:sz w:val="15"/>
        </w:rPr>
        <w:t>“</w:t>
      </w:r>
    </w:p>
    <w:p w14:paraId="1996EFE8" w14:textId="77777777" w:rsidR="0065342D" w:rsidRDefault="0065342D">
      <w:pPr>
        <w:pStyle w:val="RVAnlagenabstandleer75"/>
      </w:pPr>
      <w:r>
        <w:rPr>
          <w:rFonts w:cs="Arial"/>
          <w:sz w:val="15"/>
        </w:rPr>
        <w:t>9. Die Anlage 2.5 wird wie folgt ge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ndert:</w:t>
      </w:r>
    </w:p>
    <w:p w14:paraId="4E7E5120" w14:textId="77777777" w:rsidR="0065342D" w:rsidRDefault="0065342D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 xml:space="preserve">Die Klammerangabe unter der </w:t>
      </w:r>
      <w:r>
        <w:rPr>
          <w:rFonts w:cs="Calibri"/>
        </w:rPr>
        <w:t>Ü</w:t>
      </w:r>
      <w:r>
        <w:rPr>
          <w:rFonts w:cs="Calibri"/>
        </w:rPr>
        <w:t>berschrift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  <w:r>
        <w:rPr>
          <w:rFonts w:cs="Calibri"/>
        </w:rPr>
        <w:t>„</w:t>
      </w:r>
      <w:r>
        <w:rPr>
          <w:rFonts w:cs="Calibri"/>
        </w:rPr>
        <w:t>(nach dem ersten Jahr der Qualifikationsphase der gymnasialen Oberstufe 1), in den Bildungsg</w:t>
      </w:r>
      <w:r>
        <w:rPr>
          <w:rFonts w:cs="Calibri"/>
        </w:rPr>
        <w:t>ä</w:t>
      </w:r>
      <w:r>
        <w:rPr>
          <w:rFonts w:cs="Calibri"/>
        </w:rPr>
        <w:t>ngen des Abendgymnasiums, des Kollegs sowie der Bildungsg</w:t>
      </w:r>
      <w:r>
        <w:rPr>
          <w:rFonts w:cs="Calibri"/>
        </w:rPr>
        <w:t>ä</w:t>
      </w:r>
      <w:r>
        <w:rPr>
          <w:rFonts w:cs="Calibri"/>
        </w:rPr>
        <w:t>nge des beruflichen Gymnasiums und nach nicht bestandener Abiturpr</w:t>
      </w:r>
      <w:r>
        <w:rPr>
          <w:rFonts w:cs="Calibri"/>
        </w:rPr>
        <w:t>ü</w:t>
      </w:r>
      <w:r>
        <w:rPr>
          <w:rFonts w:cs="Calibri"/>
        </w:rPr>
        <w:t>fung gem</w:t>
      </w:r>
      <w:r>
        <w:rPr>
          <w:rFonts w:cs="Calibri"/>
        </w:rPr>
        <w:t>äß</w:t>
      </w:r>
      <w:r>
        <w:rPr>
          <w:rFonts w:cs="Calibri"/>
        </w:rPr>
        <w:t xml:space="preserve"> PO-Waldorf und PO-Externe-A)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5EFB1B27" w14:textId="77777777" w:rsidR="0065342D" w:rsidRDefault="0065342D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>Die Fu</w:t>
      </w:r>
      <w:r>
        <w:rPr>
          <w:rFonts w:cs="Arial"/>
        </w:rPr>
        <w:t>ß</w:t>
      </w:r>
      <w:r>
        <w:rPr>
          <w:rFonts w:cs="Arial"/>
        </w:rPr>
        <w:t>note 3)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  <w:r>
        <w:rPr>
          <w:rFonts w:cs="Arial"/>
        </w:rPr>
        <w:t>„</w:t>
      </w:r>
      <w:r>
        <w:rPr>
          <w:rFonts w:cs="Arial"/>
        </w:rPr>
        <w:t xml:space="preserve">Nach </w:t>
      </w:r>
      <w:r>
        <w:rPr>
          <w:rFonts w:cs="Arial"/>
        </w:rPr>
        <w:t>§</w:t>
      </w:r>
      <w:r>
        <w:rPr>
          <w:rFonts w:cs="Arial"/>
        </w:rPr>
        <w:t xml:space="preserve"> 40 a APO-GOSt, </w:t>
      </w:r>
      <w:r>
        <w:rPr>
          <w:rFonts w:cs="Arial"/>
        </w:rPr>
        <w:t>§</w:t>
      </w:r>
      <w:r>
        <w:rPr>
          <w:rFonts w:cs="Arial"/>
        </w:rPr>
        <w:t xml:space="preserve"> 13 a Anlage D APO-BK, </w:t>
      </w:r>
      <w:r>
        <w:rPr>
          <w:rFonts w:cs="Arial"/>
        </w:rPr>
        <w:t>§</w:t>
      </w:r>
      <w:r>
        <w:rPr>
          <w:rFonts w:cs="Arial"/>
        </w:rPr>
        <w:t xml:space="preserve"> 61 Absatz 6 APO-WbK, </w:t>
      </w:r>
      <w:r>
        <w:rPr>
          <w:rFonts w:cs="Arial"/>
        </w:rPr>
        <w:t>§</w:t>
      </w:r>
      <w:r>
        <w:rPr>
          <w:rFonts w:cs="Arial"/>
        </w:rPr>
        <w:t xml:space="preserve"> 22 Absatz 2 PO-Waldorf und </w:t>
      </w:r>
      <w:r>
        <w:rPr>
          <w:rFonts w:cs="Arial"/>
        </w:rPr>
        <w:t>§</w:t>
      </w:r>
      <w:r>
        <w:rPr>
          <w:rFonts w:cs="Arial"/>
        </w:rPr>
        <w:t xml:space="preserve"> 19 Absatz 2 PO-Externe-A.</w:t>
      </w:r>
      <w:r>
        <w:rPr>
          <w:rFonts w:cs="Arial"/>
        </w:rPr>
        <w:t>“</w:t>
      </w:r>
    </w:p>
    <w:p w14:paraId="624DA1E6" w14:textId="77777777" w:rsidR="0065342D" w:rsidRDefault="0065342D">
      <w:pPr>
        <w:pStyle w:val="RVAnlagenabstandleer75"/>
      </w:pPr>
      <w:r>
        <w:rPr>
          <w:rFonts w:cs="Arial"/>
          <w:sz w:val="15"/>
        </w:rPr>
        <w:t>10. Die Anlage 2.6 wird neu gefasst (siehe Anlage).</w:t>
      </w:r>
    </w:p>
    <w:p w14:paraId="5748E2A0" w14:textId="77777777" w:rsidR="0065342D" w:rsidRDefault="0065342D">
      <w:pPr>
        <w:pStyle w:val="RVAnlagenabstandleer75"/>
        <w:rPr>
          <w:rFonts w:cs="Arial"/>
        </w:rPr>
      </w:pPr>
    </w:p>
    <w:p w14:paraId="222AE773" w14:textId="77777777" w:rsidR="0065342D" w:rsidRDefault="0065342D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r>
        <w:rPr>
          <w:rFonts w:cs="Calibri"/>
        </w:rPr>
        <w:t>Anlage 2.3</w:t>
      </w:r>
      <w:r>
        <w:rPr>
          <w:noProof/>
        </w:rPr>
        <w:drawing>
          <wp:inline distT="0" distB="0" distL="0" distR="0" wp14:anchorId="229297C9" wp14:editId="6CD5C53F">
            <wp:extent cx="3095625" cy="441007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5" t="5305" r="4691" b="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D9A7" w14:textId="77777777" w:rsidR="0065342D" w:rsidRDefault="0065342D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lastRenderedPageBreak/>
        <w:t>Anlage 2.6</w:t>
      </w:r>
      <w:r>
        <w:rPr>
          <w:rFonts w:cs="Calibri"/>
          <w:noProof/>
        </w:rPr>
        <w:drawing>
          <wp:inline distT="0" distB="0" distL="0" distR="0" wp14:anchorId="5FFCE9D0" wp14:editId="04A2A802">
            <wp:extent cx="3095625" cy="4410075"/>
            <wp:effectExtent l="0" t="0" r="0" b="0"/>
            <wp:docPr id="2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2" t="5353" r="4628" b="5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C252" w14:textId="77777777" w:rsidR="0065342D" w:rsidRDefault="0065342D">
      <w:pPr>
        <w:pStyle w:val="RVfliesstext175nb"/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1174" w14:textId="77777777" w:rsidR="0065342D" w:rsidRDefault="0065342D">
      <w:r>
        <w:separator/>
      </w:r>
    </w:p>
  </w:endnote>
  <w:endnote w:type="continuationSeparator" w:id="0">
    <w:p w14:paraId="125B17E5" w14:textId="77777777" w:rsidR="0065342D" w:rsidRDefault="0065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FB0F" w14:textId="77777777" w:rsidR="0065342D" w:rsidRDefault="0065342D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0A4B" w14:textId="77777777" w:rsidR="0065342D" w:rsidRDefault="0065342D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4058D8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D305425" w14:textId="77777777" w:rsidR="0065342D" w:rsidRDefault="0065342D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1CB2" w14:textId="77777777" w:rsidR="0065342D" w:rsidRDefault="0065342D">
    <w:pPr>
      <w:pStyle w:val="Footer1"/>
      <w:widowControl/>
      <w:tabs>
        <w:tab w:val="clear" w:pos="720"/>
      </w:tabs>
    </w:pPr>
    <w:r>
      <w:rPr>
        <w:noProof/>
      </w:rPr>
      <w:pict w14:anchorId="2B7F9C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9FB2D38" w14:textId="77777777" w:rsidR="0065342D" w:rsidRDefault="0065342D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263E" w14:textId="77777777" w:rsidR="0065342D" w:rsidRDefault="0065342D">
      <w:r>
        <w:separator/>
      </w:r>
    </w:p>
  </w:footnote>
  <w:footnote w:type="continuationSeparator" w:id="0">
    <w:p w14:paraId="2FF8D1ED" w14:textId="77777777" w:rsidR="0065342D" w:rsidRDefault="0065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69DE"/>
    <w:rsid w:val="0065342D"/>
    <w:rsid w:val="008C69D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2E623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