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3A65" w14:textId="77777777" w:rsidR="00391A5F" w:rsidRDefault="00391A5F">
      <w:pPr>
        <w:pStyle w:val="BASS-Nr-ABl"/>
        <w:widowControl/>
      </w:pPr>
      <w:r>
        <w:rPr>
          <w:rFonts w:cs="Arial"/>
        </w:rPr>
        <w:t>ZU BASS 15-36</w:t>
      </w:r>
    </w:p>
    <w:p w14:paraId="225219C6" w14:textId="77777777" w:rsidR="00391A5F" w:rsidRDefault="00391A5F">
      <w:pPr>
        <w:pStyle w:val="Ueberschriftmittighf9P"/>
        <w:keepNext/>
        <w:keepLines/>
        <w:rPr>
          <w:rFonts w:cs="Calibri"/>
        </w:rPr>
      </w:pPr>
      <w:r>
        <w:t>Sekundarstufe II - Berufskolleg;</w:t>
      </w:r>
      <w:r>
        <w:br/>
        <w:t>Bildungsg</w:t>
      </w:r>
      <w:r>
        <w:t>ä</w:t>
      </w:r>
      <w:r>
        <w:t xml:space="preserve">nge der Berufsfachschule, </w:t>
      </w:r>
      <w:r>
        <w:br/>
        <w:t>die zu beruflichen Kenntnissen, F</w:t>
      </w:r>
      <w:r>
        <w:t>ä</w:t>
      </w:r>
      <w:r>
        <w:t xml:space="preserve">higkeiten und </w:t>
      </w:r>
      <w:r>
        <w:br/>
        <w:t>Fertigkeiten und Abschl</w:t>
      </w:r>
      <w:r>
        <w:t>ü</w:t>
      </w:r>
      <w:r>
        <w:t xml:space="preserve">ssen </w:t>
      </w:r>
      <w:r>
        <w:br/>
        <w:t>der Sekundarstufe I f</w:t>
      </w:r>
      <w:r>
        <w:t>ü</w:t>
      </w:r>
      <w:r>
        <w:t xml:space="preserve">hren </w:t>
      </w:r>
      <w:r>
        <w:br/>
      </w:r>
      <w:r>
        <w:t>(Bildungsg</w:t>
      </w:r>
      <w:r>
        <w:t>ä</w:t>
      </w:r>
      <w:r>
        <w:t xml:space="preserve">nge der Anlage B APO-BK) </w:t>
      </w:r>
      <w:r>
        <w:br/>
        <w:t xml:space="preserve">Fachbereiche Wirtschaft und Verwaltung, </w:t>
      </w:r>
      <w:r>
        <w:br/>
        <w:t>Technik/Naturwissenschaften,</w:t>
      </w:r>
      <w:r>
        <w:br/>
        <w:t xml:space="preserve"> Ern</w:t>
      </w:r>
      <w:r>
        <w:t>ä</w:t>
      </w:r>
      <w:r>
        <w:t xml:space="preserve">hrungs- und Versorgungsmanagement; </w:t>
      </w:r>
      <w:r>
        <w:br/>
        <w:t>Bildungspl</w:t>
      </w:r>
      <w:r>
        <w:t>ä</w:t>
      </w:r>
      <w:r>
        <w:t>ne zur Erprobung</w:t>
      </w:r>
    </w:p>
    <w:p w14:paraId="42B375AE" w14:textId="77777777" w:rsidR="00391A5F" w:rsidRDefault="00391A5F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br/>
        <w:t>v. 24.07.2015 - 313.6.08.01.13-114137</w:t>
      </w:r>
    </w:p>
    <w:p w14:paraId="79B66940" w14:textId="77777777" w:rsidR="00391A5F" w:rsidRDefault="00391A5F">
      <w:pPr>
        <w:pStyle w:val="Fliedftext"/>
        <w:rPr>
          <w:rFonts w:cs="Calibri"/>
        </w:rPr>
      </w:pPr>
      <w:r>
        <w:t>Unter verantwortlicher Leitung des Ministeriums f</w:t>
      </w:r>
      <w:r>
        <w:t>ü</w:t>
      </w:r>
      <w:r>
        <w:t>r Schule und Weiterbildung und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neue Bildungspl</w:t>
      </w:r>
      <w:r>
        <w:t>ä</w:t>
      </w:r>
      <w:r>
        <w:t>ne mit einer kompetenzorientierten Ausrichtung f</w:t>
      </w:r>
      <w:r>
        <w:t>ü</w:t>
      </w:r>
      <w:r>
        <w:t>r die o.a. Bildungsg</w:t>
      </w:r>
      <w:r>
        <w:t>ä</w:t>
      </w:r>
      <w:r>
        <w:t>nge entwickelt: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6069153A" w14:textId="77777777">
        <w:trPr>
          <w:cantSplit/>
        </w:trPr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F0C2AB" w14:textId="77777777" w:rsidR="00391A5F" w:rsidRDefault="00391A5F">
            <w:pPr>
              <w:pStyle w:val="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sz w:val="15"/>
                <w:lang w:val="de-DE"/>
              </w:rPr>
              <w:t>Fachbereich Wirtschaft und Verwaltung</w:t>
            </w:r>
          </w:p>
        </w:tc>
      </w:tr>
      <w:tr w:rsidR="00000000" w14:paraId="0AEF4970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03C9E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43001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25E7B" w14:textId="77777777" w:rsidR="00391A5F" w:rsidRDefault="00391A5F">
            <w:pPr>
              <w:pStyle w:val="Fliedftext"/>
              <w:jc w:val="left"/>
              <w:rPr>
                <w:rFonts w:cs="Calibri"/>
              </w:rPr>
            </w:pPr>
            <w:r>
              <w:t>Bereichsspezifische F</w:t>
            </w:r>
            <w:r>
              <w:t>ä</w:t>
            </w:r>
            <w:r>
              <w:t>cher: Gesch</w:t>
            </w:r>
            <w:r>
              <w:t>ä</w:t>
            </w:r>
            <w:r>
              <w:t>ftsprozesse im Unternehmen, Personalbezogene Prozesse, Gesamtwirtschaftliche Prozesse</w:t>
            </w:r>
          </w:p>
        </w:tc>
      </w:tr>
      <w:tr w:rsidR="00000000" w14:paraId="1B15FFDA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0FC5F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43006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E8236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Mathematik</w:t>
            </w:r>
          </w:p>
        </w:tc>
      </w:tr>
      <w:tr w:rsidR="00000000" w14:paraId="7D8026DF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50472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43003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8505E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Englisch</w:t>
            </w:r>
          </w:p>
        </w:tc>
      </w:tr>
      <w:tr w:rsidR="00000000" w14:paraId="2F78306E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03B9D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43002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BC096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2640854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6C20E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43008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F619D" w14:textId="77777777" w:rsidR="00391A5F" w:rsidRDefault="00391A5F">
            <w:pPr>
              <w:pStyle w:val="Fliedftext"/>
            </w:pPr>
            <w:r>
              <w:t>Sport/Gesundheitsf</w:t>
            </w:r>
            <w:r>
              <w:t>ö</w:t>
            </w:r>
            <w:r>
              <w:t>rderung</w:t>
            </w:r>
            <w:r>
              <w:rPr>
                <w:rFonts w:cs="Calibri"/>
              </w:rPr>
              <w:t>c</w:t>
            </w:r>
          </w:p>
        </w:tc>
      </w:tr>
      <w:tr w:rsidR="00000000" w14:paraId="76A08E77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69678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Heft 43007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7359C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Politik/Gesellschaftslehre</w:t>
            </w:r>
          </w:p>
        </w:tc>
      </w:tr>
    </w:tbl>
    <w:p w14:paraId="0886618C" w14:textId="77777777" w:rsidR="00391A5F" w:rsidRDefault="00391A5F">
      <w:pPr>
        <w:pStyle w:val="Fliedftext"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3B352054" w14:textId="77777777">
        <w:trPr>
          <w:cantSplit/>
        </w:trPr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58E425" w14:textId="77777777" w:rsidR="00391A5F" w:rsidRDefault="00391A5F">
            <w:pPr>
              <w:pStyle w:val="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b w:val="0"/>
                <w:sz w:val="15"/>
              </w:rPr>
              <w:t>Fachbereich Technik/Naturwissenschaften</w:t>
            </w:r>
          </w:p>
        </w:tc>
      </w:tr>
      <w:tr w:rsidR="00000000" w14:paraId="5F0B467C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61BE6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43031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8F0D0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Bereichsspezifische F</w:t>
            </w:r>
            <w:r>
              <w:t>ä</w:t>
            </w:r>
            <w:r>
              <w:t>cher im Berufsfeld Bau- und                      Holztechnik: Betriebsorganisation, Produkterstellung</w:t>
            </w:r>
          </w:p>
        </w:tc>
      </w:tr>
      <w:tr w:rsidR="00000000" w14:paraId="6FC997D9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BF2FD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43032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5BBFC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Bereichsspezifische F</w:t>
            </w:r>
            <w:r>
              <w:t>ä</w:t>
            </w:r>
            <w:r>
              <w:t>cher im Berufsfeld Elektrotechnik: Instandhaltungsprozesse, Produktionsprozesse</w:t>
            </w:r>
          </w:p>
        </w:tc>
      </w:tr>
      <w:tr w:rsidR="00000000" w14:paraId="4D02206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34FDA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43033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B26F3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Bereichsspezifische F</w:t>
            </w:r>
            <w:r>
              <w:t>ä</w:t>
            </w:r>
            <w:r>
              <w:t>cher im Berufsfeld Metalltechnik: Fertigungsprozesse, Montage- und Instandhaltungsprozesse</w:t>
            </w:r>
          </w:p>
        </w:tc>
      </w:tr>
      <w:tr w:rsidR="00000000" w14:paraId="1E95B0B3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2E204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43034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5AD4A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Bereichsspezifische F</w:t>
            </w:r>
            <w:r>
              <w:t>ä</w:t>
            </w:r>
            <w:r>
              <w:t>cher im Berufsfeld Fahrzeugtechnik: Betriebsorganisation, Pflege- Wartungs- und Umr</w:t>
            </w:r>
            <w:r>
              <w:t>ü</w:t>
            </w:r>
            <w:r>
              <w:t>starbeiten, Instandsetzung</w:t>
            </w:r>
          </w:p>
        </w:tc>
      </w:tr>
      <w:tr w:rsidR="00000000" w14:paraId="169D1091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87B12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43042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65CA6" w14:textId="77777777" w:rsidR="00391A5F" w:rsidRDefault="00391A5F">
            <w:pPr>
              <w:pStyle w:val="Fliedftext"/>
              <w:jc w:val="left"/>
              <w:rPr>
                <w:rFonts w:cs="Calibri"/>
              </w:rPr>
            </w:pPr>
            <w:r>
              <w:t>Wirtschafts- und Betriebslehre</w:t>
            </w:r>
          </w:p>
        </w:tc>
      </w:tr>
      <w:tr w:rsidR="00000000" w14:paraId="03B0A7EE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1505C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43039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4B06A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Mathematik</w:t>
            </w:r>
          </w:p>
        </w:tc>
      </w:tr>
      <w:tr w:rsidR="00000000" w14:paraId="660AA560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70BA3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43036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62C35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Englisch</w:t>
            </w:r>
          </w:p>
        </w:tc>
      </w:tr>
      <w:tr w:rsidR="00000000" w14:paraId="2C90E3D3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72F96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43035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973EC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19A23416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0ED3E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43041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A4A53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17425D8A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4F2F9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Heft 43040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A497E" w14:textId="77777777" w:rsidR="00391A5F" w:rsidRDefault="00391A5F">
            <w:pPr>
              <w:pStyle w:val="Fliedftext"/>
              <w:rPr>
                <w:rFonts w:cs="Calibri"/>
              </w:rPr>
            </w:pPr>
            <w:r>
              <w:t>Politik/Gesellschaftslehre</w:t>
            </w:r>
          </w:p>
        </w:tc>
      </w:tr>
    </w:tbl>
    <w:p w14:paraId="680B26DC" w14:textId="77777777" w:rsidR="00391A5F" w:rsidRDefault="00391A5F">
      <w:pPr>
        <w:pStyle w:val="Fliedf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11B17ED4" w14:textId="77777777">
        <w:trPr>
          <w:cantSplit/>
        </w:trPr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DEBAD0" w14:textId="77777777" w:rsidR="00391A5F" w:rsidRDefault="00391A5F">
            <w:pPr>
              <w:pStyle w:val="Haupttext"/>
              <w:widowControl/>
              <w:spacing w:before="10" w:after="10" w:line="150" w:lineRule="exact"/>
            </w:pPr>
            <w:r>
              <w:rPr>
                <w:rFonts w:cs="Calibri"/>
                <w:b w:val="0"/>
                <w:sz w:val="15"/>
              </w:rPr>
              <w:t>Fachbereich Ern</w:t>
            </w:r>
            <w:r>
              <w:rPr>
                <w:rFonts w:cs="Calibri"/>
                <w:b w:val="0"/>
                <w:sz w:val="15"/>
              </w:rPr>
              <w:t>ä</w:t>
            </w:r>
            <w:r>
              <w:rPr>
                <w:rFonts w:cs="Calibri"/>
                <w:b w:val="0"/>
                <w:sz w:val="15"/>
              </w:rPr>
              <w:t>hrungs- und Versorgungsmanagement</w:t>
            </w:r>
          </w:p>
        </w:tc>
      </w:tr>
      <w:tr w:rsidR="00000000" w14:paraId="510BE61B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B4682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Heft 43071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CCB9C" w14:textId="77777777" w:rsidR="00391A5F" w:rsidRDefault="00391A5F">
            <w:pPr>
              <w:pStyle w:val="Fliedftext"/>
              <w:jc w:val="left"/>
            </w:pPr>
            <w:r>
              <w:rPr>
                <w:rFonts w:cs="Calibri"/>
              </w:rPr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cher: Betriebsorganisation, Produktion, Dienstleistung</w:t>
            </w:r>
          </w:p>
        </w:tc>
      </w:tr>
      <w:tr w:rsidR="00000000" w14:paraId="3B1B4EA5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769C2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Heft 43072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10A0B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Staatlich gepr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fte Assistentin/Staatlich gepr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fter Assistent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hrung und Versorgung, Schwerpunkt Service</w:t>
            </w:r>
          </w:p>
        </w:tc>
      </w:tr>
      <w:tr w:rsidR="00000000" w14:paraId="3E0FD7E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4D327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Heft 43080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55662" w14:textId="77777777" w:rsidR="00391A5F" w:rsidRDefault="00391A5F">
            <w:pPr>
              <w:pStyle w:val="Fliedftext"/>
              <w:jc w:val="left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6404556A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B6F46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Heft 43077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8918A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Mathematik</w:t>
            </w:r>
          </w:p>
        </w:tc>
      </w:tr>
      <w:tr w:rsidR="00000000" w14:paraId="534F276C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DB9AC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Heft 43074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8C01E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Englisch</w:t>
            </w:r>
          </w:p>
        </w:tc>
      </w:tr>
      <w:tr w:rsidR="00000000" w14:paraId="0840C70A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842FD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Heft 43073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E94D7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44BA20FA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07053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Heft 43079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1E1A4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79952E23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FECD7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Heft 43078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DBBAA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Politik/Gesellschaftslehre</w:t>
            </w:r>
          </w:p>
        </w:tc>
      </w:tr>
    </w:tbl>
    <w:p w14:paraId="6B17FC8F" w14:textId="77777777" w:rsidR="00391A5F" w:rsidRDefault="00391A5F">
      <w:pPr>
        <w:pStyle w:val="Fliedftext"/>
      </w:pPr>
      <w:r>
        <w:rPr>
          <w:rFonts w:cs="Calibri"/>
        </w:rPr>
        <w:t xml:space="preserve">Diese treten am 01. August 2015 zur Erprobung in Kraft. </w:t>
      </w:r>
    </w:p>
    <w:p w14:paraId="1240DFEE" w14:textId="77777777" w:rsidR="00391A5F" w:rsidRDefault="00391A5F">
      <w:pPr>
        <w:pStyle w:val="Fliedftext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>ne werden im Bildungsportal ver</w:t>
      </w:r>
      <w:r>
        <w:rPr>
          <w:rFonts w:cs="Calibri"/>
        </w:rPr>
        <w:t>ö</w:t>
      </w:r>
      <w:r>
        <w:rPr>
          <w:rFonts w:cs="Calibri"/>
        </w:rPr>
        <w:t>ffentlicht. (http://www.berufsbildung.nrw.de/cms/lehrplaene-und-richtlinien/berufsfachschule/)</w:t>
      </w:r>
    </w:p>
    <w:p w14:paraId="5DDB692D" w14:textId="77777777" w:rsidR="00391A5F" w:rsidRDefault="00391A5F">
      <w:pPr>
        <w:pStyle w:val="Fliedftext"/>
      </w:pPr>
      <w:r>
        <w:rPr>
          <w:rFonts w:cs="Calibri"/>
        </w:rPr>
        <w:t>Die curricularen Vorgaben f</w:t>
      </w:r>
      <w:r>
        <w:rPr>
          <w:rFonts w:cs="Calibri"/>
        </w:rPr>
        <w:t>ü</w:t>
      </w:r>
      <w:r>
        <w:rPr>
          <w:rFonts w:cs="Calibri"/>
        </w:rPr>
        <w:t>r die Fachbereiche und Berufsfelder, f</w:t>
      </w:r>
      <w:r>
        <w:rPr>
          <w:rFonts w:cs="Calibri"/>
        </w:rPr>
        <w:t>ü</w:t>
      </w:r>
      <w:r>
        <w:rPr>
          <w:rFonts w:cs="Calibri"/>
        </w:rPr>
        <w:t>r die bislang keine neuen Bildungspl</w:t>
      </w:r>
      <w:r>
        <w:rPr>
          <w:rFonts w:cs="Calibri"/>
        </w:rPr>
        <w:t>ä</w:t>
      </w:r>
      <w:r>
        <w:rPr>
          <w:rFonts w:cs="Calibri"/>
        </w:rPr>
        <w:t>ne entwickelt wurden, behalten vorl</w:t>
      </w:r>
      <w:r>
        <w:rPr>
          <w:rFonts w:cs="Calibri"/>
        </w:rPr>
        <w:t>ä</w:t>
      </w:r>
      <w:r>
        <w:rPr>
          <w:rFonts w:cs="Calibri"/>
        </w:rPr>
        <w:t>ufig ihre G</w:t>
      </w:r>
      <w:r>
        <w:rPr>
          <w:rFonts w:cs="Calibri"/>
        </w:rPr>
        <w:t>ü</w:t>
      </w:r>
      <w:r>
        <w:rPr>
          <w:rFonts w:cs="Calibri"/>
        </w:rPr>
        <w:t xml:space="preserve">ltigkeit. </w:t>
      </w:r>
    </w:p>
    <w:p w14:paraId="455EDAA2" w14:textId="77777777" w:rsidR="00391A5F" w:rsidRDefault="00391A5F">
      <w:pPr>
        <w:pStyle w:val="Fliedftext"/>
      </w:pPr>
      <w:r>
        <w:rPr>
          <w:rFonts w:cs="Calibri"/>
        </w:rPr>
        <w:t>Die fachbereichsspezifischen Bildungspl</w:t>
      </w:r>
      <w:r>
        <w:rPr>
          <w:rFonts w:cs="Calibri"/>
        </w:rPr>
        <w:t>ä</w:t>
      </w:r>
      <w:r>
        <w:rPr>
          <w:rFonts w:cs="Calibri"/>
        </w:rPr>
        <w:t>ne, die nicht berufsfeldbezogen sind, k</w:t>
      </w:r>
      <w:r>
        <w:rPr>
          <w:rFonts w:cs="Calibri"/>
        </w:rPr>
        <w:t>ö</w:t>
      </w:r>
      <w:r>
        <w:rPr>
          <w:rFonts w:cs="Calibri"/>
        </w:rPr>
        <w:t>nnen auch dann angewendet werden, wenn noch keine berufsfeldbezogenen Bildungspl</w:t>
      </w:r>
      <w:r>
        <w:rPr>
          <w:rFonts w:cs="Calibri"/>
        </w:rPr>
        <w:t>ä</w:t>
      </w:r>
      <w:r>
        <w:rPr>
          <w:rFonts w:cs="Calibri"/>
        </w:rPr>
        <w:t>ne vorliegen. Gleichzeitig treten zum 31.07.2015 die nachfolgenden Runderlasse f</w:t>
      </w:r>
      <w:r>
        <w:rPr>
          <w:rFonts w:cs="Calibri"/>
        </w:rPr>
        <w:t>ü</w:t>
      </w:r>
      <w:r>
        <w:rPr>
          <w:rFonts w:cs="Calibri"/>
        </w:rPr>
        <w:t>r das Berufsgrundschuljahr und die Berufsfachschulen und die Bildungsg</w:t>
      </w:r>
      <w:r>
        <w:rPr>
          <w:rFonts w:cs="Calibri"/>
        </w:rPr>
        <w:t>ä</w:t>
      </w:r>
      <w:r>
        <w:rPr>
          <w:rFonts w:cs="Calibri"/>
        </w:rPr>
        <w:t>nge, die zu einem Berufsabschluss nach Landesrecht und zum mittleren Schulabschluss (FOR) oder zu beruflicher Grundbildung und zum mittleren Schulabschluss (FOR) f</w:t>
      </w:r>
      <w:r>
        <w:rPr>
          <w:rFonts w:cs="Calibri"/>
        </w:rPr>
        <w:t>ü</w:t>
      </w:r>
      <w:r>
        <w:rPr>
          <w:rFonts w:cs="Calibri"/>
        </w:rPr>
        <w:t>hren, au</w:t>
      </w:r>
      <w:r>
        <w:rPr>
          <w:rFonts w:cs="Calibri"/>
        </w:rPr>
        <w:t>ß</w:t>
      </w:r>
      <w:r>
        <w:rPr>
          <w:rFonts w:cs="Calibri"/>
        </w:rPr>
        <w:t>er Kraft:</w:t>
      </w:r>
    </w:p>
    <w:p w14:paraId="62F65948" w14:textId="77777777" w:rsidR="00391A5F" w:rsidRDefault="00391A5F">
      <w:pPr>
        <w:pStyle w:val="Fliedftext"/>
      </w:pPr>
      <w:r>
        <w:rPr>
          <w:rFonts w:cs="Calibri"/>
        </w:rPr>
        <w:br w:type="column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1954"/>
        <w:gridCol w:w="1954"/>
      </w:tblGrid>
      <w:tr w:rsidR="00000000" w14:paraId="149D10AD" w14:textId="77777777">
        <w:tc>
          <w:tcPr>
            <w:tcW w:w="100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C1698" w14:textId="77777777" w:rsidR="00391A5F" w:rsidRDefault="00391A5F">
            <w:pPr>
              <w:pStyle w:val="Fliedftext"/>
            </w:pPr>
            <w:r>
              <w:rPr>
                <w:rFonts w:cs="Calibri"/>
                <w:b/>
              </w:rPr>
              <w:t>Heft Nr.</w:t>
            </w:r>
          </w:p>
        </w:tc>
        <w:tc>
          <w:tcPr>
            <w:tcW w:w="193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B8D39" w14:textId="77777777" w:rsidR="00391A5F" w:rsidRDefault="00391A5F">
            <w:pPr>
              <w:pStyle w:val="Fliedftext"/>
              <w:jc w:val="left"/>
            </w:pPr>
            <w:r>
              <w:rPr>
                <w:rFonts w:cs="Calibri"/>
                <w:b/>
              </w:rPr>
              <w:t>Bereich/Fach</w:t>
            </w:r>
          </w:p>
        </w:tc>
        <w:tc>
          <w:tcPr>
            <w:tcW w:w="193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5B2E6" w14:textId="77777777" w:rsidR="00391A5F" w:rsidRDefault="00391A5F">
            <w:pPr>
              <w:pStyle w:val="Fliedftext"/>
              <w:jc w:val="left"/>
            </w:pPr>
            <w:r>
              <w:rPr>
                <w:rFonts w:cs="Calibri"/>
                <w:b/>
              </w:rPr>
              <w:t xml:space="preserve">Datum des </w:t>
            </w:r>
            <w:r>
              <w:rPr>
                <w:rFonts w:cs="Calibri"/>
                <w:b/>
              </w:rPr>
              <w:br/>
              <w:t>Einf</w:t>
            </w:r>
            <w:r>
              <w:rPr>
                <w:rFonts w:cs="Calibri"/>
                <w:b/>
              </w:rPr>
              <w:t>ü</w:t>
            </w:r>
            <w:r>
              <w:rPr>
                <w:rFonts w:cs="Calibri"/>
                <w:b/>
              </w:rPr>
              <w:t>hrungserlasses/</w:t>
            </w:r>
            <w:r>
              <w:rPr>
                <w:rFonts w:cs="Calibri"/>
                <w:b/>
              </w:rPr>
              <w:br/>
              <w:t>Fundstelle</w:t>
            </w:r>
          </w:p>
        </w:tc>
      </w:tr>
      <w:tr w:rsidR="00000000" w14:paraId="0F321BF4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57EA2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4903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7F91F" w14:textId="77777777" w:rsidR="00391A5F" w:rsidRDefault="00391A5F">
            <w:pPr>
              <w:pStyle w:val="Fliedftext"/>
              <w:jc w:val="left"/>
            </w:pPr>
            <w:r>
              <w:rPr>
                <w:rFonts w:cs="Calibri"/>
              </w:rPr>
              <w:t xml:space="preserve">Sport-/ </w:t>
            </w:r>
            <w:r>
              <w:rPr>
                <w:rFonts w:cs="Calibri"/>
              </w:rPr>
              <w:br/>
              <w:t>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D0628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- s. BASS 15-32 Nr. 3</w:t>
            </w:r>
          </w:p>
        </w:tc>
      </w:tr>
      <w:tr w:rsidR="00000000" w14:paraId="045A55BC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71704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43002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AB0D8" w14:textId="77777777" w:rsidR="00391A5F" w:rsidRDefault="00391A5F">
            <w:pPr>
              <w:pStyle w:val="Fliedftext"/>
              <w:jc w:val="left"/>
            </w:pPr>
            <w:r>
              <w:rPr>
                <w:rFonts w:cs="Calibri"/>
              </w:rPr>
              <w:t>Wirtschaft und Verwaltung (berufsfeld- und 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cher)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F37BF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- s. BASS 15-36 Nr. 21</w:t>
            </w:r>
          </w:p>
        </w:tc>
      </w:tr>
      <w:tr w:rsidR="00000000" w14:paraId="1D7A20DF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7BB61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4301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C46EB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Deutsch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94E35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 xml:space="preserve">10.10.1975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(GABI. NW. S. 557)</w:t>
            </w:r>
          </w:p>
        </w:tc>
      </w:tr>
      <w:tr w:rsidR="00000000" w14:paraId="2F7D34EE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BC7C7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4302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C030D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Englisch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DB09D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 xml:space="preserve">10.10.1975 </w:t>
            </w:r>
            <w:r>
              <w:rPr>
                <w:rFonts w:cs="Calibri"/>
              </w:rPr>
              <w:br/>
              <w:t>(GABI. NW. S. 557)</w:t>
            </w:r>
          </w:p>
        </w:tc>
      </w:tr>
      <w:tr w:rsidR="00000000" w14:paraId="295AB70F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45A49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4314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89BD4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Mathematik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EF0DA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 xml:space="preserve">30.11.1976 </w:t>
            </w:r>
            <w:r>
              <w:rPr>
                <w:rFonts w:cs="Calibri"/>
              </w:rPr>
              <w:br/>
              <w:t>(GABI. NW. 1977 S. 3)</w:t>
            </w:r>
          </w:p>
        </w:tc>
      </w:tr>
      <w:tr w:rsidR="00000000" w14:paraId="12CF7103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D8874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4315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880FD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Wirtschaftsgeographie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9423F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 xml:space="preserve">09.07.1981 </w:t>
            </w:r>
            <w:r>
              <w:rPr>
                <w:rFonts w:cs="Calibri"/>
              </w:rPr>
              <w:br/>
              <w:t xml:space="preserve">(GABI. NW. S. 255) </w:t>
            </w:r>
          </w:p>
        </w:tc>
      </w:tr>
      <w:tr w:rsidR="00000000" w14:paraId="185C1409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F38F6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43022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90A0A" w14:textId="77777777" w:rsidR="00391A5F" w:rsidRDefault="00391A5F">
            <w:pPr>
              <w:pStyle w:val="Fliedftext"/>
              <w:jc w:val="left"/>
            </w:pPr>
            <w:r>
              <w:rPr>
                <w:rFonts w:cs="Calibri"/>
              </w:rPr>
              <w:t>Berufsfelder Bau-, Druck-, Elektro-, Holz- und Metalltechnik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2DED9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 xml:space="preserve">21.05.2004 </w:t>
            </w:r>
            <w:r>
              <w:rPr>
                <w:rFonts w:cs="Calibri"/>
              </w:rPr>
              <w:br/>
              <w:t xml:space="preserve">(ABl. NRW. S. 209) </w:t>
            </w:r>
            <w:r>
              <w:rPr>
                <w:rFonts w:cs="Calibri"/>
              </w:rPr>
              <w:br/>
              <w:t>s. BASS 15-36 Nr. 22</w:t>
            </w:r>
          </w:p>
        </w:tc>
      </w:tr>
      <w:tr w:rsidR="00000000" w14:paraId="63A1C9C3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951A6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4329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DFF83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Mathematik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FEC87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 xml:space="preserve">13.04.1976 </w:t>
            </w:r>
            <w:r>
              <w:rPr>
                <w:rFonts w:cs="Calibri"/>
              </w:rPr>
              <w:br/>
              <w:t>(GABI. NW. S. 238)</w:t>
            </w:r>
          </w:p>
        </w:tc>
      </w:tr>
      <w:tr w:rsidR="00000000" w14:paraId="5A0AD926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62C0F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4326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51CB4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Fachrichtung Metall Schwerpunkt Kraftfahrzeugtechnik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B1CC0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 xml:space="preserve">13.04.1976 </w:t>
            </w:r>
            <w:r>
              <w:rPr>
                <w:rFonts w:cs="Calibri"/>
              </w:rPr>
              <w:br/>
              <w:t>(GABl. NW. S. 238)</w:t>
            </w:r>
          </w:p>
        </w:tc>
      </w:tr>
      <w:tr w:rsidR="00000000" w14:paraId="112C4B82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97A1E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43023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EBFA4" w14:textId="77777777" w:rsidR="00391A5F" w:rsidRDefault="00391A5F">
            <w:pPr>
              <w:pStyle w:val="Fliedftext"/>
              <w:jc w:val="left"/>
            </w:pPr>
            <w:r>
              <w:rPr>
                <w:rFonts w:cs="Calibri"/>
              </w:rPr>
              <w:t>Berufsfeld 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hrung und Hauswirtschaft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AE267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 xml:space="preserve">21.05.2004 </w:t>
            </w:r>
            <w:r>
              <w:rPr>
                <w:rFonts w:cs="Calibri"/>
              </w:rPr>
              <w:br/>
              <w:t xml:space="preserve">(ABI. NRW. S. 209) </w:t>
            </w:r>
            <w:r>
              <w:rPr>
                <w:rFonts w:cs="Calibri"/>
              </w:rPr>
              <w:br/>
              <w:t>s. BASS 15-36 Nr. 23</w:t>
            </w:r>
          </w:p>
        </w:tc>
      </w:tr>
      <w:tr w:rsidR="00000000" w14:paraId="0596359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975A4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>43027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3165A" w14:textId="77777777" w:rsidR="00391A5F" w:rsidRDefault="00391A5F">
            <w:pPr>
              <w:pStyle w:val="Fliedftext"/>
              <w:jc w:val="left"/>
            </w:pPr>
            <w:r>
              <w:rPr>
                <w:rFonts w:cs="Calibri"/>
              </w:rPr>
              <w:t>Staatlich gepr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fte Servicekraft und </w:t>
            </w:r>
            <w:r>
              <w:rPr>
                <w:rFonts w:cs="Calibri"/>
              </w:rPr>
              <w:br/>
              <w:t>mittlerer Schulabschluss (Fachoberschulreife)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D6B9D" w14:textId="77777777" w:rsidR="00391A5F" w:rsidRDefault="00391A5F">
            <w:pPr>
              <w:pStyle w:val="Fliedftext"/>
            </w:pPr>
            <w:r>
              <w:rPr>
                <w:rFonts w:cs="Calibri"/>
              </w:rPr>
              <w:t xml:space="preserve">11.04.2013 </w:t>
            </w:r>
            <w:r>
              <w:rPr>
                <w:rFonts w:cs="Calibri"/>
              </w:rPr>
              <w:br/>
              <w:t>(ABl. NRW. S. 234)</w:t>
            </w:r>
            <w:r>
              <w:rPr>
                <w:rFonts w:cs="Calibri"/>
              </w:rPr>
              <w:tab/>
            </w:r>
          </w:p>
        </w:tc>
      </w:tr>
    </w:tbl>
    <w:p w14:paraId="6E9377C3" w14:textId="77777777" w:rsidR="00391A5F" w:rsidRDefault="00391A5F">
      <w:pPr>
        <w:pStyle w:val="Fliedftext"/>
        <w:rPr>
          <w:rFonts w:cs="Calibri"/>
        </w:rPr>
      </w:pPr>
    </w:p>
    <w:p w14:paraId="2A6668BB" w14:textId="77777777" w:rsidR="00391A5F" w:rsidRDefault="00391A5F">
      <w:pPr>
        <w:pStyle w:val="Fliedftext"/>
      </w:pPr>
    </w:p>
    <w:p w14:paraId="35CC8F32" w14:textId="77777777" w:rsidR="00391A5F" w:rsidRDefault="00391A5F">
      <w:pPr>
        <w:pStyle w:val="Fliedftext"/>
        <w:jc w:val="right"/>
      </w:pPr>
      <w:r>
        <w:rPr>
          <w:rFonts w:cs="Calibri"/>
        </w:rPr>
        <w:t>ABl. NRW. 07/08/15 S. 363</w:t>
      </w:r>
    </w:p>
    <w:p w14:paraId="039E5306" w14:textId="77777777" w:rsidR="00391A5F" w:rsidRDefault="00391A5F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A7BDF" w14:textId="77777777" w:rsidR="00391A5F" w:rsidRDefault="00391A5F">
      <w:r>
        <w:separator/>
      </w:r>
    </w:p>
  </w:endnote>
  <w:endnote w:type="continuationSeparator" w:id="0">
    <w:p w14:paraId="28832C97" w14:textId="77777777" w:rsidR="00391A5F" w:rsidRDefault="0039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B35B" w14:textId="77777777" w:rsidR="00391A5F" w:rsidRDefault="00391A5F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A6FF6" w14:textId="77777777" w:rsidR="00391A5F" w:rsidRDefault="00391A5F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296F600" w14:textId="77777777" w:rsidR="00391A5F" w:rsidRDefault="00391A5F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6AFC"/>
    <w:rsid w:val="00391A5F"/>
    <w:rsid w:val="00A339FA"/>
    <w:rsid w:val="00C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00A7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