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7D046" w14:textId="77777777" w:rsidR="008A235D" w:rsidRDefault="008A235D">
      <w:pPr>
        <w:pStyle w:val="Tabellen-Anker2P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61ACD8C8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6FFE017E" w14:textId="77777777" w:rsidR="008A235D" w:rsidRDefault="008A235D">
            <w:pPr>
              <w:pStyle w:val="Hinweistext"/>
            </w:pPr>
            <w:r>
              <w:rPr>
                <w:rFonts w:cs="Calibri"/>
                <w:b/>
                <w:i w:val="0"/>
              </w:rPr>
              <w:t>Stufen des Gemeinsamen europ</w:t>
            </w:r>
            <w:r>
              <w:rPr>
                <w:rFonts w:cs="Calibri"/>
                <w:b/>
                <w:i w:val="0"/>
              </w:rPr>
              <w:t>ä</w:t>
            </w:r>
            <w:r>
              <w:rPr>
                <w:rFonts w:cs="Calibri"/>
                <w:b/>
                <w:i w:val="0"/>
              </w:rPr>
              <w:t>ischen Referenzrahmens (GeR) auf Abgangs- und Abschlusszeugnissen der gymnasialen Oberstufe und an Weiterbildungskollegs</w:t>
            </w:r>
          </w:p>
          <w:p w14:paraId="7E8C2678" w14:textId="77777777" w:rsidR="008A235D" w:rsidRDefault="008A235D">
            <w:pPr>
              <w:pStyle w:val="Hinweistext"/>
            </w:pPr>
            <w:r>
              <w:rPr>
                <w:rFonts w:cs="Calibri"/>
                <w:b/>
                <w:i w:val="0"/>
              </w:rPr>
              <w:t xml:space="preserve">Die Ausweisung des Referenzniveaus des GeR </w:t>
            </w:r>
            <w:r>
              <w:rPr>
                <w:rStyle w:val="hf"/>
                <w:i w:val="0"/>
                <w:sz w:val="15"/>
              </w:rPr>
              <w:t>in modernen Fremd-sprachen</w:t>
            </w:r>
            <w:r>
              <w:rPr>
                <w:rFonts w:cs="Calibri"/>
                <w:b/>
                <w:i w:val="0"/>
              </w:rPr>
              <w:t xml:space="preserve"> auf Abgangs- und Abschlusszeugnissen erf</w:t>
            </w:r>
            <w:r>
              <w:rPr>
                <w:rFonts w:cs="Calibri"/>
                <w:b/>
                <w:i w:val="0"/>
              </w:rPr>
              <w:t>ä</w:t>
            </w:r>
            <w:r>
              <w:rPr>
                <w:rFonts w:cs="Calibri"/>
                <w:b/>
                <w:i w:val="0"/>
              </w:rPr>
              <w:t>hrt eine Anpassung an die Kernlehrpl</w:t>
            </w:r>
            <w:r>
              <w:rPr>
                <w:rFonts w:cs="Calibri"/>
                <w:b/>
                <w:i w:val="0"/>
              </w:rPr>
              <w:t>ä</w:t>
            </w:r>
            <w:r>
              <w:rPr>
                <w:rFonts w:cs="Calibri"/>
                <w:b/>
                <w:i w:val="0"/>
              </w:rPr>
              <w:t>ne in modernen Fremdsprachen f</w:t>
            </w:r>
            <w:r>
              <w:rPr>
                <w:rFonts w:cs="Calibri"/>
                <w:b/>
                <w:i w:val="0"/>
              </w:rPr>
              <w:t>ü</w:t>
            </w:r>
            <w:r>
              <w:rPr>
                <w:rFonts w:cs="Calibri"/>
                <w:b/>
                <w:i w:val="0"/>
              </w:rPr>
              <w:t>r die Sekundarstufe II an Gymnasien und Gesamtschulen und f</w:t>
            </w:r>
            <w:r>
              <w:rPr>
                <w:rFonts w:cs="Calibri"/>
                <w:b/>
                <w:i w:val="0"/>
              </w:rPr>
              <w:t>ü</w:t>
            </w:r>
            <w:r>
              <w:rPr>
                <w:rFonts w:cs="Calibri"/>
                <w:b/>
                <w:i w:val="0"/>
              </w:rPr>
              <w:t>r die Abendgymnasien und Kollegs. Diese Anpassung erfolgt parallel zum ab dem Schuljahr 2014/15 aufsteigenden Inkrafttreten der Kernlehrpl</w:t>
            </w:r>
            <w:r>
              <w:rPr>
                <w:rFonts w:cs="Calibri"/>
                <w:b/>
                <w:i w:val="0"/>
              </w:rPr>
              <w:t>ä</w:t>
            </w:r>
            <w:r>
              <w:rPr>
                <w:rFonts w:cs="Calibri"/>
                <w:b/>
                <w:i w:val="0"/>
              </w:rPr>
              <w:t>ne.</w:t>
            </w:r>
          </w:p>
        </w:tc>
      </w:tr>
    </w:tbl>
    <w:p w14:paraId="3F054EFE" w14:textId="77777777" w:rsidR="008A235D" w:rsidRDefault="008A235D">
      <w:pPr>
        <w:pStyle w:val="Tabellen-Anker2P"/>
        <w:widowControl/>
      </w:pPr>
    </w:p>
    <w:p w14:paraId="49B4340C" w14:textId="77777777" w:rsidR="008A235D" w:rsidRDefault="008A235D">
      <w:pPr>
        <w:pStyle w:val="BASS-Nr-ABl"/>
        <w:widowControl/>
      </w:pPr>
      <w:r>
        <w:rPr>
          <w:rFonts w:cs="Arial"/>
        </w:rPr>
        <w:t>Zu BASS 13-32 Nr. 3.2/19-11 Nr. 1.2</w:t>
      </w:r>
    </w:p>
    <w:p w14:paraId="213D9F08" w14:textId="77777777" w:rsidR="008A235D" w:rsidRDefault="008A235D">
      <w:pPr>
        <w:pStyle w:val="Ueberschriftmittighf9P"/>
        <w:keepNext/>
        <w:keepLines/>
        <w:rPr>
          <w:rFonts w:cs="Calibri"/>
        </w:rPr>
      </w:pPr>
      <w:r>
        <w:t>Verwaltungsvorschriften</w:t>
      </w:r>
      <w:r>
        <w:br/>
        <w:t>zu den Ausbildungs- und Pr</w:t>
      </w:r>
      <w:r>
        <w:t>ü</w:t>
      </w:r>
      <w:r>
        <w:t>fungsordnungen</w:t>
      </w:r>
      <w:r>
        <w:br/>
      </w:r>
      <w:r>
        <w:t xml:space="preserve">APO-GOSt und APO-WbK; </w:t>
      </w:r>
      <w:r>
        <w:br/>
      </w:r>
      <w:r>
        <w:t>Ä</w:t>
      </w:r>
      <w:r>
        <w:t>nderung</w:t>
      </w:r>
    </w:p>
    <w:p w14:paraId="540AB43F" w14:textId="77777777" w:rsidR="008A235D" w:rsidRDefault="008A235D">
      <w:pPr>
        <w:pStyle w:val="Ueberschriftmittigmager75P"/>
        <w:keepNext/>
        <w:widowControl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26.04.2015 - 522-6.03.15.06-125131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242"/>
        <w:gridCol w:w="3987"/>
      </w:tblGrid>
      <w:tr w:rsidR="00000000" w14:paraId="55890249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9B1B386" w14:textId="77777777" w:rsidR="008A235D" w:rsidRDefault="008A235D">
            <w:pPr>
              <w:pStyle w:val="Normaltext"/>
              <w:widowControl/>
              <w:rPr>
                <w:rFonts w:cs="Calibri"/>
              </w:rPr>
            </w:pPr>
            <w:r>
              <w:t xml:space="preserve">Bezug: </w:t>
            </w:r>
          </w:p>
        </w:tc>
        <w:tc>
          <w:tcPr>
            <w:tcW w:w="2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140DEF6" w14:textId="77777777" w:rsidR="008A235D" w:rsidRDefault="008A235D">
            <w:pPr>
              <w:pStyle w:val="Fliedftext"/>
              <w:rPr>
                <w:rFonts w:cs="Calibri"/>
              </w:rPr>
            </w:pPr>
            <w:r>
              <w:t>1.</w:t>
            </w:r>
          </w:p>
        </w:tc>
        <w:tc>
          <w:tcPr>
            <w:tcW w:w="398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0B687EA" w14:textId="77777777" w:rsidR="008A235D" w:rsidRDefault="008A235D">
            <w:pPr>
              <w:pStyle w:val="Fliedftext"/>
              <w:rPr>
                <w:rFonts w:cs="Calibri"/>
              </w:rPr>
            </w:pPr>
            <w:r>
              <w:t>RdErl. des Ministeriums f</w:t>
            </w:r>
            <w:r>
              <w:t>ü</w:t>
            </w:r>
            <w:r>
              <w:t>r Schule und Weiterbildung</w:t>
            </w:r>
            <w:r>
              <w:br/>
              <w:t>v. 18.11.2006 (</w:t>
            </w:r>
            <w:r>
              <w:rPr>
                <w:rStyle w:val="hf"/>
                <w:rFonts w:cs="Calibri"/>
                <w:sz w:val="15"/>
              </w:rPr>
              <w:t>BASS</w:t>
            </w:r>
            <w:r>
              <w:t xml:space="preserve"> 13-32 Nr. 3.2)</w:t>
            </w:r>
          </w:p>
        </w:tc>
      </w:tr>
      <w:tr w:rsidR="00000000" w14:paraId="5BFAFB1C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429820A" w14:textId="77777777" w:rsidR="008A235D" w:rsidRDefault="008A235D">
            <w:pPr>
              <w:pStyle w:val="Normaltext"/>
              <w:widowControl/>
            </w:pPr>
          </w:p>
        </w:tc>
        <w:tc>
          <w:tcPr>
            <w:tcW w:w="2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76E731A" w14:textId="77777777" w:rsidR="008A235D" w:rsidRDefault="008A235D">
            <w:pPr>
              <w:pStyle w:val="Fliedftext"/>
            </w:pPr>
            <w:r>
              <w:rPr>
                <w:rFonts w:cs="Calibri"/>
              </w:rPr>
              <w:t>2.</w:t>
            </w:r>
          </w:p>
        </w:tc>
        <w:tc>
          <w:tcPr>
            <w:tcW w:w="398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342927F" w14:textId="77777777" w:rsidR="008A235D" w:rsidRDefault="008A235D">
            <w:pPr>
              <w:pStyle w:val="Fliedftext"/>
            </w:pPr>
            <w:r>
              <w:rPr>
                <w:rFonts w:cs="Calibri"/>
              </w:rPr>
              <w:t>RdErl. des Ministeriums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Schule und Weiterbildung</w:t>
            </w:r>
            <w:r>
              <w:rPr>
                <w:rFonts w:cs="Calibri"/>
              </w:rPr>
              <w:br/>
              <w:t>v. 21.03.2000 (</w:t>
            </w:r>
            <w:r>
              <w:rPr>
                <w:rStyle w:val="hf"/>
                <w:sz w:val="15"/>
              </w:rPr>
              <w:t>BASS</w:t>
            </w:r>
            <w:r>
              <w:rPr>
                <w:rFonts w:cs="Calibri"/>
              </w:rPr>
              <w:t xml:space="preserve"> 19-11 Nr. 1.2), zuletzt ge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ndert durch RdErl. v. 02.02.2015 (ABl. NRW. S. 134)</w:t>
            </w:r>
          </w:p>
        </w:tc>
      </w:tr>
    </w:tbl>
    <w:p w14:paraId="46804D71" w14:textId="77777777" w:rsidR="008A235D" w:rsidRDefault="008A235D">
      <w:pPr>
        <w:pStyle w:val="Ueberschriftmittighf75PAbstandoben2P"/>
        <w:keepNext/>
        <w:keepLines/>
        <w:rPr>
          <w:rFonts w:cs="Arial"/>
        </w:rPr>
      </w:pPr>
      <w:r>
        <w:t>I.</w:t>
      </w:r>
      <w:r>
        <w:br/>
        <w:t>Die VVzAPO-GOSt (I. Bezug)</w:t>
      </w:r>
      <w:r>
        <w:br/>
        <w:t>werden wie folgt ge</w:t>
      </w:r>
      <w:r>
        <w:t>ä</w:t>
      </w:r>
      <w:r>
        <w:t>ndert:</w:t>
      </w:r>
    </w:p>
    <w:p w14:paraId="4327D3F3" w14:textId="77777777" w:rsidR="008A235D" w:rsidRDefault="008A235D">
      <w:pPr>
        <w:pStyle w:val="FliedftextAufze4hlungauto123AnfangE05"/>
      </w:pPr>
      <w:r>
        <w:t>1.</w:t>
      </w:r>
      <w:r>
        <w:tab/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5: Die Tabelle zur gymnasialen Oberstufe wird wie folgt neu gefasst: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641"/>
        <w:gridCol w:w="1642"/>
        <w:gridCol w:w="1642"/>
      </w:tblGrid>
      <w:tr w:rsidR="00000000" w14:paraId="5796CC8A" w14:textId="77777777">
        <w:tc>
          <w:tcPr>
            <w:tcW w:w="4593" w:type="dxa"/>
            <w:gridSpan w:val="3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ADA55" w14:textId="77777777" w:rsidR="008A235D" w:rsidRDefault="008A235D">
            <w:pPr>
              <w:pStyle w:val="Fliedftexthf75P"/>
            </w:pPr>
            <w:r>
              <w:rPr>
                <w:rFonts w:cs="Arial"/>
              </w:rPr>
              <w:t>Gymnasiale Oberstufe auslaufend, letztmalig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ler, die im Schuljahr 2013/14 in die Einf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hrungsphase eingetreten sind.</w:t>
            </w:r>
          </w:p>
        </w:tc>
      </w:tr>
      <w:tr w:rsidR="00000000" w14:paraId="523B1CBC" w14:textId="77777777">
        <w:tc>
          <w:tcPr>
            <w:tcW w:w="153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1A5EB" w14:textId="77777777" w:rsidR="008A235D" w:rsidRDefault="008A235D">
            <w:pPr>
              <w:pStyle w:val="V-Normaltext"/>
              <w:widowControl/>
              <w:spacing w:before="10" w:after="30" w:line="130" w:lineRule="exact"/>
              <w:rPr>
                <w:rFonts w:cs="Arial"/>
              </w:rPr>
            </w:pPr>
          </w:p>
        </w:tc>
        <w:tc>
          <w:tcPr>
            <w:tcW w:w="153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715C4" w14:textId="77777777" w:rsidR="008A235D" w:rsidRDefault="008A235D">
            <w:pPr>
              <w:pStyle w:val="Fliedftexthf75P"/>
              <w:jc w:val="left"/>
              <w:rPr>
                <w:rFonts w:cs="Arial"/>
              </w:rPr>
            </w:pPr>
            <w:r>
              <w:t>fortgef</w:t>
            </w:r>
            <w:r>
              <w:t>ü</w:t>
            </w:r>
            <w:r>
              <w:t xml:space="preserve">hrte Fremdsprache </w:t>
            </w:r>
            <w:r>
              <w:br/>
              <w:t>(au</w:t>
            </w:r>
            <w:r>
              <w:t>ß</w:t>
            </w:r>
            <w:r>
              <w:t>er Chinesisch und Japanisch)</w:t>
            </w:r>
          </w:p>
        </w:tc>
        <w:tc>
          <w:tcPr>
            <w:tcW w:w="153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AE18A" w14:textId="77777777" w:rsidR="008A235D" w:rsidRDefault="008A235D">
            <w:pPr>
              <w:pStyle w:val="Fliedftexthf75P"/>
              <w:jc w:val="left"/>
              <w:rPr>
                <w:rFonts w:cs="Arial"/>
              </w:rPr>
            </w:pPr>
            <w:r>
              <w:t>neu einsetzende Fremdsprache</w:t>
            </w:r>
            <w:r>
              <w:br/>
              <w:t>(au</w:t>
            </w:r>
            <w:r>
              <w:t>ß</w:t>
            </w:r>
            <w:r>
              <w:t>er Chinesisch und Japanisch)</w:t>
            </w:r>
          </w:p>
        </w:tc>
      </w:tr>
      <w:tr w:rsidR="00000000" w14:paraId="27B407D6" w14:textId="77777777">
        <w:tc>
          <w:tcPr>
            <w:tcW w:w="153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CA3B94" w14:textId="77777777" w:rsidR="008A235D" w:rsidRDefault="008A235D">
            <w:pPr>
              <w:pStyle w:val="V-Normaltext"/>
              <w:widowControl/>
              <w:spacing w:before="10" w:after="30" w:line="130" w:lineRule="exact"/>
              <w:rPr>
                <w:rFonts w:cs="Arial"/>
              </w:rPr>
            </w:pPr>
            <w:r>
              <w:rPr>
                <w:sz w:val="13"/>
              </w:rPr>
              <w:t>Einf</w:t>
            </w:r>
            <w:r>
              <w:rPr>
                <w:sz w:val="13"/>
              </w:rPr>
              <w:t>ü</w:t>
            </w:r>
            <w:r>
              <w:rPr>
                <w:sz w:val="13"/>
              </w:rPr>
              <w:t>hrungsphase</w:t>
            </w:r>
          </w:p>
        </w:tc>
        <w:tc>
          <w:tcPr>
            <w:tcW w:w="153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C6A18" w14:textId="77777777" w:rsidR="008A235D" w:rsidRDefault="008A235D">
            <w:pPr>
              <w:pStyle w:val="V-Normaltext"/>
              <w:widowControl/>
              <w:spacing w:before="10" w:after="30" w:line="150" w:lineRule="exact"/>
              <w:rPr>
                <w:rFonts w:cs="Arial"/>
              </w:rPr>
            </w:pPr>
            <w:r>
              <w:rPr>
                <w:b w:val="0"/>
              </w:rPr>
              <w:t>B1/B2</w:t>
            </w:r>
          </w:p>
        </w:tc>
        <w:tc>
          <w:tcPr>
            <w:tcW w:w="153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EDF94" w14:textId="77777777" w:rsidR="008A235D" w:rsidRDefault="008A235D">
            <w:pPr>
              <w:pStyle w:val="V-Normaltext"/>
              <w:widowControl/>
              <w:spacing w:before="10" w:after="30" w:line="150" w:lineRule="exact"/>
              <w:rPr>
                <w:rFonts w:cs="Arial"/>
              </w:rPr>
            </w:pPr>
            <w:r>
              <w:rPr>
                <w:b w:val="0"/>
              </w:rPr>
              <w:t>A2</w:t>
            </w:r>
          </w:p>
        </w:tc>
      </w:tr>
      <w:tr w:rsidR="00000000" w14:paraId="2E3633AA" w14:textId="77777777">
        <w:tc>
          <w:tcPr>
            <w:tcW w:w="153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D52C4" w14:textId="77777777" w:rsidR="008A235D" w:rsidRDefault="008A235D">
            <w:pPr>
              <w:pStyle w:val="V-Normaltext"/>
              <w:widowControl/>
              <w:spacing w:before="10" w:after="30" w:line="130" w:lineRule="exact"/>
              <w:rPr>
                <w:rFonts w:cs="Arial"/>
              </w:rPr>
            </w:pPr>
            <w:r>
              <w:rPr>
                <w:sz w:val="13"/>
              </w:rPr>
              <w:t>Qualifikationsphase 1</w:t>
            </w:r>
          </w:p>
        </w:tc>
        <w:tc>
          <w:tcPr>
            <w:tcW w:w="153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D019E" w14:textId="77777777" w:rsidR="008A235D" w:rsidRDefault="008A235D">
            <w:pPr>
              <w:pStyle w:val="V-Normaltext"/>
              <w:widowControl/>
              <w:spacing w:before="10" w:after="30" w:line="150" w:lineRule="exact"/>
              <w:rPr>
                <w:rFonts w:cs="Arial"/>
              </w:rPr>
            </w:pPr>
            <w:r>
              <w:rPr>
                <w:b w:val="0"/>
              </w:rPr>
              <w:t>B2</w:t>
            </w:r>
          </w:p>
        </w:tc>
        <w:tc>
          <w:tcPr>
            <w:tcW w:w="153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3F120" w14:textId="77777777" w:rsidR="008A235D" w:rsidRDefault="008A235D">
            <w:pPr>
              <w:pStyle w:val="V-Normaltext"/>
              <w:widowControl/>
              <w:spacing w:before="10" w:after="30" w:line="150" w:lineRule="exact"/>
              <w:rPr>
                <w:rFonts w:cs="Arial"/>
              </w:rPr>
            </w:pPr>
            <w:r>
              <w:rPr>
                <w:b w:val="0"/>
              </w:rPr>
              <w:t>A2/B1</w:t>
            </w:r>
          </w:p>
        </w:tc>
      </w:tr>
      <w:tr w:rsidR="00000000" w14:paraId="4551B8B3" w14:textId="77777777">
        <w:tc>
          <w:tcPr>
            <w:tcW w:w="153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8CED5" w14:textId="77777777" w:rsidR="008A235D" w:rsidRDefault="008A235D">
            <w:pPr>
              <w:pStyle w:val="V-Normaltext"/>
              <w:widowControl/>
              <w:spacing w:before="10" w:after="30" w:line="130" w:lineRule="exact"/>
              <w:rPr>
                <w:rFonts w:cs="Arial"/>
              </w:rPr>
            </w:pPr>
            <w:r>
              <w:rPr>
                <w:sz w:val="13"/>
              </w:rPr>
              <w:t>Qualifikationsphase 2</w:t>
            </w:r>
          </w:p>
        </w:tc>
        <w:tc>
          <w:tcPr>
            <w:tcW w:w="153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3A58E" w14:textId="77777777" w:rsidR="008A235D" w:rsidRDefault="008A235D">
            <w:pPr>
              <w:pStyle w:val="V-Normaltext"/>
              <w:widowControl/>
              <w:spacing w:before="10" w:after="30" w:line="150" w:lineRule="exact"/>
              <w:rPr>
                <w:rFonts w:cs="Arial"/>
              </w:rPr>
            </w:pPr>
            <w:r>
              <w:rPr>
                <w:b w:val="0"/>
              </w:rPr>
              <w:t>B2/C1</w:t>
            </w:r>
          </w:p>
        </w:tc>
        <w:tc>
          <w:tcPr>
            <w:tcW w:w="153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3333E" w14:textId="77777777" w:rsidR="008A235D" w:rsidRDefault="008A235D">
            <w:pPr>
              <w:pStyle w:val="V-Normaltext"/>
              <w:widowControl/>
              <w:spacing w:before="10" w:after="30" w:line="150" w:lineRule="exact"/>
              <w:rPr>
                <w:rFonts w:cs="Arial"/>
              </w:rPr>
            </w:pPr>
            <w:r>
              <w:rPr>
                <w:b w:val="0"/>
              </w:rPr>
              <w:t>B1/B2</w:t>
            </w:r>
          </w:p>
        </w:tc>
      </w:tr>
    </w:tbl>
    <w:p w14:paraId="6B278982" w14:textId="77777777" w:rsidR="008A235D" w:rsidRDefault="008A235D">
      <w:pPr>
        <w:pStyle w:val="FliedftextAufze4hlungauto123E05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 xml:space="preserve">VV zu </w:t>
      </w:r>
      <w:r>
        <w:t>§</w:t>
      </w:r>
      <w:r>
        <w:t xml:space="preserve"> 5: Folgende Tabelle wird unter der bestehenden Tabelle f</w:t>
      </w:r>
      <w:r>
        <w:t>ü</w:t>
      </w:r>
      <w:r>
        <w:t>r die gymnasiale Oberstufe hinzugef</w:t>
      </w:r>
      <w:r>
        <w:t>ü</w:t>
      </w:r>
      <w:r>
        <w:t>gt.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133"/>
        <w:gridCol w:w="832"/>
        <w:gridCol w:w="1480"/>
        <w:gridCol w:w="1480"/>
      </w:tblGrid>
      <w:tr w:rsidR="00000000" w14:paraId="51A36A66" w14:textId="77777777">
        <w:tc>
          <w:tcPr>
            <w:tcW w:w="4598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3424D" w14:textId="77777777" w:rsidR="008A235D" w:rsidRDefault="008A235D">
            <w:pPr>
              <w:pStyle w:val="Fliedftexthf75P"/>
            </w:pPr>
            <w:r>
              <w:rPr>
                <w:rFonts w:cs="Arial"/>
              </w:rPr>
              <w:t>Gymnasiale Oberstufe, aufsteigend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ler, die ab dem Schuljahr 2014/15 in die Einf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hrungsphase eintreten.</w:t>
            </w:r>
          </w:p>
        </w:tc>
      </w:tr>
      <w:tr w:rsidR="00000000" w14:paraId="00FA76DA" w14:textId="77777777">
        <w:tc>
          <w:tcPr>
            <w:tcW w:w="10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5B083" w14:textId="77777777" w:rsidR="008A235D" w:rsidRDefault="008A235D">
            <w:pPr>
              <w:pStyle w:val="V-Normaltext"/>
              <w:widowControl/>
              <w:spacing w:before="10" w:after="30" w:line="130" w:lineRule="exact"/>
              <w:rPr>
                <w:rFonts w:cs="Arial"/>
              </w:rPr>
            </w:pPr>
          </w:p>
        </w:tc>
        <w:tc>
          <w:tcPr>
            <w:tcW w:w="7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142D1" w14:textId="77777777" w:rsidR="008A235D" w:rsidRDefault="008A235D">
            <w:pPr>
              <w:pStyle w:val="Fliedftexthf75P"/>
              <w:rPr>
                <w:rFonts w:cs="Arial"/>
              </w:rPr>
            </w:pPr>
            <w:r>
              <w:t>Englisch</w:t>
            </w:r>
          </w:p>
        </w:tc>
        <w:tc>
          <w:tcPr>
            <w:tcW w:w="138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D32BA" w14:textId="77777777" w:rsidR="008A235D" w:rsidRDefault="008A235D">
            <w:pPr>
              <w:pStyle w:val="Fliedftexthf75P"/>
              <w:jc w:val="left"/>
              <w:rPr>
                <w:rFonts w:cs="Arial"/>
              </w:rPr>
            </w:pPr>
            <w:r>
              <w:t>fortgef</w:t>
            </w:r>
            <w:r>
              <w:t>ü</w:t>
            </w:r>
            <w:r>
              <w:t xml:space="preserve">hrte Fremdsprache </w:t>
            </w:r>
            <w:r>
              <w:br/>
              <w:t>(au</w:t>
            </w:r>
            <w:r>
              <w:t>ß</w:t>
            </w:r>
            <w:r>
              <w:t>er Chinesisch und Japanisch)</w:t>
            </w:r>
          </w:p>
        </w:tc>
        <w:tc>
          <w:tcPr>
            <w:tcW w:w="138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FEB80" w14:textId="77777777" w:rsidR="008A235D" w:rsidRDefault="008A235D">
            <w:pPr>
              <w:pStyle w:val="Fliedftexthf75P"/>
              <w:jc w:val="left"/>
              <w:rPr>
                <w:rFonts w:cs="Arial"/>
              </w:rPr>
            </w:pPr>
            <w:r>
              <w:t>neu einsetzende Fremdsprache</w:t>
            </w:r>
            <w:r>
              <w:br/>
              <w:t>(au</w:t>
            </w:r>
            <w:r>
              <w:t>ß</w:t>
            </w:r>
            <w:r>
              <w:t>er Chinesisch und Japanisch)</w:t>
            </w:r>
          </w:p>
        </w:tc>
      </w:tr>
      <w:tr w:rsidR="00000000" w14:paraId="34621AF1" w14:textId="77777777">
        <w:tc>
          <w:tcPr>
            <w:tcW w:w="10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E4BA9" w14:textId="77777777" w:rsidR="008A235D" w:rsidRDefault="008A235D">
            <w:pPr>
              <w:pStyle w:val="V-Normaltext"/>
              <w:widowControl/>
              <w:spacing w:before="10" w:after="30" w:line="130" w:lineRule="exact"/>
              <w:rPr>
                <w:rFonts w:cs="Arial"/>
              </w:rPr>
            </w:pPr>
            <w:r>
              <w:rPr>
                <w:sz w:val="13"/>
              </w:rPr>
              <w:t>Einf</w:t>
            </w:r>
            <w:r>
              <w:rPr>
                <w:sz w:val="13"/>
              </w:rPr>
              <w:t>ü</w:t>
            </w:r>
            <w:r>
              <w:rPr>
                <w:sz w:val="13"/>
              </w:rPr>
              <w:t>hrungs-</w:t>
            </w:r>
            <w:r>
              <w:rPr>
                <w:sz w:val="13"/>
              </w:rPr>
              <w:br/>
              <w:t>phase</w:t>
            </w:r>
          </w:p>
        </w:tc>
        <w:tc>
          <w:tcPr>
            <w:tcW w:w="7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94A4A" w14:textId="77777777" w:rsidR="008A235D" w:rsidRDefault="008A235D">
            <w:pPr>
              <w:pStyle w:val="V-Normaltext"/>
              <w:widowControl/>
              <w:spacing w:before="10" w:after="30" w:line="150" w:lineRule="exact"/>
              <w:rPr>
                <w:rFonts w:cs="Arial"/>
              </w:rPr>
            </w:pPr>
            <w:r>
              <w:rPr>
                <w:b w:val="0"/>
              </w:rPr>
              <w:t>B1/B2</w:t>
            </w:r>
          </w:p>
        </w:tc>
        <w:tc>
          <w:tcPr>
            <w:tcW w:w="138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3F18E" w14:textId="77777777" w:rsidR="008A235D" w:rsidRDefault="008A235D">
            <w:pPr>
              <w:pStyle w:val="V-Normaltext"/>
              <w:widowControl/>
              <w:spacing w:before="10" w:after="30" w:line="150" w:lineRule="exact"/>
              <w:rPr>
                <w:rFonts w:cs="Arial"/>
              </w:rPr>
            </w:pPr>
            <w:r>
              <w:rPr>
                <w:b w:val="0"/>
              </w:rPr>
              <w:t>B1+</w:t>
            </w:r>
          </w:p>
        </w:tc>
        <w:tc>
          <w:tcPr>
            <w:tcW w:w="138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6AFC6" w14:textId="77777777" w:rsidR="008A235D" w:rsidRDefault="008A235D">
            <w:pPr>
              <w:pStyle w:val="V-Normaltext"/>
              <w:widowControl/>
              <w:spacing w:before="10" w:after="30" w:line="150" w:lineRule="exact"/>
              <w:rPr>
                <w:rFonts w:cs="Arial"/>
              </w:rPr>
            </w:pPr>
            <w:r>
              <w:rPr>
                <w:b w:val="0"/>
              </w:rPr>
              <w:t>A2</w:t>
            </w:r>
          </w:p>
        </w:tc>
      </w:tr>
      <w:tr w:rsidR="00000000" w14:paraId="74D923AB" w14:textId="77777777">
        <w:tc>
          <w:tcPr>
            <w:tcW w:w="10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06B7D" w14:textId="77777777" w:rsidR="008A235D" w:rsidRDefault="008A235D">
            <w:pPr>
              <w:pStyle w:val="V-Normaltext"/>
              <w:widowControl/>
              <w:spacing w:before="10" w:after="30" w:line="130" w:lineRule="exact"/>
              <w:rPr>
                <w:rFonts w:cs="Arial"/>
              </w:rPr>
            </w:pPr>
            <w:r>
              <w:rPr>
                <w:sz w:val="13"/>
              </w:rPr>
              <w:t>Qualifikations-</w:t>
            </w:r>
            <w:r>
              <w:rPr>
                <w:sz w:val="13"/>
              </w:rPr>
              <w:br/>
              <w:t>phase 1</w:t>
            </w:r>
          </w:p>
        </w:tc>
        <w:tc>
          <w:tcPr>
            <w:tcW w:w="7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86F61" w14:textId="77777777" w:rsidR="008A235D" w:rsidRDefault="008A235D">
            <w:pPr>
              <w:pStyle w:val="V-Normaltext"/>
              <w:widowControl/>
              <w:spacing w:before="10" w:after="30" w:line="150" w:lineRule="exact"/>
              <w:rPr>
                <w:rFonts w:cs="Arial"/>
              </w:rPr>
            </w:pPr>
            <w:r>
              <w:rPr>
                <w:b w:val="0"/>
              </w:rPr>
              <w:t>B2</w:t>
            </w:r>
          </w:p>
        </w:tc>
        <w:tc>
          <w:tcPr>
            <w:tcW w:w="138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5B555" w14:textId="77777777" w:rsidR="008A235D" w:rsidRDefault="008A235D">
            <w:pPr>
              <w:pStyle w:val="V-Normaltext"/>
              <w:widowControl/>
              <w:spacing w:before="10" w:after="30" w:line="150" w:lineRule="exact"/>
              <w:rPr>
                <w:rFonts w:cs="Arial"/>
              </w:rPr>
            </w:pPr>
            <w:r>
              <w:rPr>
                <w:b w:val="0"/>
              </w:rPr>
              <w:t>B1/B2</w:t>
            </w:r>
          </w:p>
        </w:tc>
        <w:tc>
          <w:tcPr>
            <w:tcW w:w="138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A303C" w14:textId="77777777" w:rsidR="008A235D" w:rsidRDefault="008A235D">
            <w:pPr>
              <w:pStyle w:val="V-Normaltext"/>
              <w:widowControl/>
              <w:spacing w:before="10" w:after="30" w:line="150" w:lineRule="exact"/>
              <w:rPr>
                <w:rFonts w:cs="Arial"/>
              </w:rPr>
            </w:pPr>
            <w:r>
              <w:rPr>
                <w:b w:val="0"/>
              </w:rPr>
              <w:t>A2/B1</w:t>
            </w:r>
          </w:p>
        </w:tc>
      </w:tr>
      <w:tr w:rsidR="00000000" w14:paraId="75C42838" w14:textId="77777777">
        <w:tc>
          <w:tcPr>
            <w:tcW w:w="10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A47F6" w14:textId="77777777" w:rsidR="008A235D" w:rsidRDefault="008A235D">
            <w:pPr>
              <w:pStyle w:val="V-Normaltext"/>
              <w:widowControl/>
              <w:spacing w:before="10" w:after="30" w:line="130" w:lineRule="exact"/>
              <w:rPr>
                <w:rFonts w:cs="Arial"/>
              </w:rPr>
            </w:pPr>
            <w:r>
              <w:rPr>
                <w:sz w:val="13"/>
              </w:rPr>
              <w:t>Qualifikations-</w:t>
            </w:r>
            <w:r>
              <w:rPr>
                <w:sz w:val="13"/>
              </w:rPr>
              <w:br/>
              <w:t>phase 2</w:t>
            </w:r>
          </w:p>
        </w:tc>
        <w:tc>
          <w:tcPr>
            <w:tcW w:w="7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7977C" w14:textId="77777777" w:rsidR="008A235D" w:rsidRDefault="008A235D">
            <w:pPr>
              <w:pStyle w:val="V-Normaltext"/>
              <w:widowControl/>
              <w:spacing w:before="10" w:after="30" w:line="150" w:lineRule="exact"/>
              <w:rPr>
                <w:rFonts w:cs="Arial"/>
              </w:rPr>
            </w:pPr>
            <w:r>
              <w:rPr>
                <w:b w:val="0"/>
              </w:rPr>
              <w:t>B2/C1</w:t>
            </w:r>
          </w:p>
        </w:tc>
        <w:tc>
          <w:tcPr>
            <w:tcW w:w="138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B5832" w14:textId="77777777" w:rsidR="008A235D" w:rsidRDefault="008A235D">
            <w:pPr>
              <w:pStyle w:val="V-Normaltext"/>
              <w:widowControl/>
              <w:spacing w:before="10" w:after="30" w:line="150" w:lineRule="exact"/>
              <w:rPr>
                <w:rFonts w:cs="Arial"/>
              </w:rPr>
            </w:pPr>
            <w:r>
              <w:rPr>
                <w:b w:val="0"/>
              </w:rPr>
              <w:t>B2</w:t>
            </w:r>
          </w:p>
        </w:tc>
        <w:tc>
          <w:tcPr>
            <w:tcW w:w="138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3626F" w14:textId="77777777" w:rsidR="008A235D" w:rsidRDefault="008A235D">
            <w:pPr>
              <w:pStyle w:val="V-Normaltext"/>
              <w:widowControl/>
              <w:spacing w:before="10" w:after="30" w:line="150" w:lineRule="exact"/>
              <w:rPr>
                <w:rFonts w:cs="Arial"/>
              </w:rPr>
            </w:pPr>
            <w:r>
              <w:rPr>
                <w:b w:val="0"/>
              </w:rPr>
              <w:t>B1/B2</w:t>
            </w:r>
          </w:p>
        </w:tc>
      </w:tr>
    </w:tbl>
    <w:p w14:paraId="0147DBC4" w14:textId="77777777" w:rsidR="008A235D" w:rsidRDefault="008A235D">
      <w:pPr>
        <w:pStyle w:val="FliedftextAufze4hlungauto123E05"/>
      </w:pPr>
      <w:r>
        <w:rPr>
          <w:rFonts w:cs="Calibri"/>
        </w:rPr>
        <w:t>2.</w:t>
      </w:r>
      <w:r>
        <w:rPr>
          <w:rFonts w:cs="Calibri"/>
        </w:rPr>
        <w:tab/>
      </w:r>
    </w:p>
    <w:p w14:paraId="3CC6A593" w14:textId="77777777" w:rsidR="008A235D" w:rsidRDefault="008A235D">
      <w:pPr>
        <w:pStyle w:val="Ueberschriftmittighf75PAbstandoben2P"/>
        <w:keepNext/>
        <w:keepLines/>
        <w:rPr>
          <w:rFonts w:cs="Arial"/>
        </w:rPr>
      </w:pPr>
      <w:r>
        <w:t>II.</w:t>
      </w:r>
      <w:r>
        <w:br/>
        <w:t xml:space="preserve">Die </w:t>
      </w:r>
      <w:r>
        <w:t>VVzAPO-WbK (II. Bezug)</w:t>
      </w:r>
      <w:r>
        <w:br/>
        <w:t>werden wie folgt ge</w:t>
      </w:r>
      <w:r>
        <w:t>ä</w:t>
      </w:r>
      <w:r>
        <w:t>ndert:</w:t>
      </w:r>
    </w:p>
    <w:p w14:paraId="2BCADB29" w14:textId="77777777" w:rsidR="008A235D" w:rsidRDefault="008A235D">
      <w:pPr>
        <w:pStyle w:val="FliedftextAufze4hlungauto123AnfangE05"/>
      </w:pPr>
      <w:r>
        <w:t>1.</w:t>
      </w:r>
      <w:r>
        <w:tab/>
      </w:r>
      <w:r>
        <w:rPr>
          <w:rFonts w:cs="Arial"/>
        </w:rPr>
        <w:t xml:space="preserve">VV 58.33 zu </w:t>
      </w:r>
      <w:r>
        <w:rPr>
          <w:rFonts w:cs="Arial"/>
        </w:rPr>
        <w:t>§</w:t>
      </w:r>
      <w:r>
        <w:rPr>
          <w:rFonts w:cs="Arial"/>
        </w:rPr>
        <w:t xml:space="preserve"> 58 Absatz 3 wird eingef</w:t>
      </w:r>
      <w:r>
        <w:rPr>
          <w:rFonts w:cs="Arial"/>
        </w:rPr>
        <w:t>ü</w:t>
      </w:r>
      <w:r>
        <w:rPr>
          <w:rFonts w:cs="Arial"/>
        </w:rPr>
        <w:t>gt: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125"/>
      </w:tblGrid>
      <w:tr w:rsidR="00000000" w14:paraId="470C5836" w14:textId="77777777">
        <w:tc>
          <w:tcPr>
            <w:tcW w:w="4598" w:type="dxa"/>
            <w:shd w:val="solid" w:color="FFE6BA" w:fill="auto"/>
            <w:tcMar>
              <w:top w:w="100" w:type="dxa"/>
              <w:left w:w="120" w:type="dxa"/>
              <w:bottom w:w="80" w:type="dxa"/>
              <w:right w:w="120" w:type="dxa"/>
            </w:tcMar>
          </w:tcPr>
          <w:p w14:paraId="20468246" w14:textId="77777777" w:rsidR="008A235D" w:rsidRDefault="008A235D">
            <w:pPr>
              <w:pStyle w:val="Fliedftext"/>
              <w:rPr>
                <w:rFonts w:cs="Calibri"/>
              </w:rPr>
            </w:pPr>
            <w:r>
              <w:t>Die VV 58.33 tritt aufsteigend f</w:t>
            </w:r>
            <w:r>
              <w:t>ü</w:t>
            </w:r>
            <w:r>
              <w:t>r Studierende, die ab dem Wintersemester 2014/15 in die Einf</w:t>
            </w:r>
            <w:r>
              <w:t>ü</w:t>
            </w:r>
            <w:r>
              <w:t>hrungsphase eintraten, in Kraft.</w:t>
            </w:r>
          </w:p>
          <w:p w14:paraId="4C006AC1" w14:textId="77777777" w:rsidR="008A235D" w:rsidRDefault="008A235D">
            <w:pPr>
              <w:pStyle w:val="Fliedftext"/>
              <w:rPr>
                <w:rFonts w:cs="Calibri"/>
              </w:rPr>
            </w:pPr>
            <w:r>
              <w:t>Im Sommersemester 2017 l</w:t>
            </w:r>
            <w:r>
              <w:t>ä</w:t>
            </w:r>
            <w:r>
              <w:t>uft VV 58.32 aus und wird durch VV 58.33 ersetzt. VV 58.33 wird dann zu VV 58.32.</w:t>
            </w:r>
          </w:p>
        </w:tc>
      </w:tr>
    </w:tbl>
    <w:p w14:paraId="3FA0F140" w14:textId="77777777" w:rsidR="008A235D" w:rsidRDefault="008A235D">
      <w:pPr>
        <w:pStyle w:val="FliedftextAufze4hlungauto123AnfangE05"/>
      </w:pPr>
      <w:r>
        <w:rPr>
          <w:rFonts w:cs="Arial"/>
        </w:rPr>
        <w:t>1.</w:t>
      </w:r>
      <w:r>
        <w:rPr>
          <w:rFonts w:cs="Arial"/>
        </w:rPr>
        <w:tab/>
      </w:r>
      <w:r>
        <w:br/>
      </w:r>
      <w:r>
        <w:rPr>
          <w:rFonts w:cs="Arial"/>
        </w:rPr>
        <w:t>Zeugnisse weisen f</w:t>
      </w:r>
      <w:r>
        <w:rPr>
          <w:rFonts w:cs="Arial"/>
        </w:rPr>
        <w:t>ü</w:t>
      </w:r>
      <w:r>
        <w:rPr>
          <w:rFonts w:cs="Arial"/>
        </w:rPr>
        <w:t>r die modernen und alten Fremdsprachen den Unterrichtszeitraum aus. Auf dem Abschluss-/Abgangszeugnis aus der Qualifikationsphase mit oder ohne Fachhochschulreife (schulischer Teil) (Anlage 2) und auf dem Zeugnis der allgemeinen Hochschulreife (Anlage 3) wird zus</w:t>
      </w:r>
      <w:r>
        <w:rPr>
          <w:rFonts w:cs="Arial"/>
        </w:rPr>
        <w:t>ä</w:t>
      </w:r>
      <w:r>
        <w:rPr>
          <w:rFonts w:cs="Arial"/>
        </w:rPr>
        <w:t>tzlich bei mindestens ausreichenden Leistungen bzw. 5 Punkten das Referenzniveau des Gemeinsamen europ</w:t>
      </w:r>
      <w:r>
        <w:rPr>
          <w:rFonts w:cs="Arial"/>
        </w:rPr>
        <w:t>ä</w:t>
      </w:r>
      <w:r>
        <w:rPr>
          <w:rFonts w:cs="Arial"/>
        </w:rPr>
        <w:t>ischen Referenzrahmens f</w:t>
      </w:r>
      <w:r>
        <w:rPr>
          <w:rFonts w:cs="Arial"/>
        </w:rPr>
        <w:t>ü</w:t>
      </w:r>
      <w:r>
        <w:rPr>
          <w:rFonts w:cs="Arial"/>
        </w:rPr>
        <w:t>r Sprachen (GeR) in den Sprachen Englisch, Franz</w:t>
      </w:r>
      <w:r>
        <w:rPr>
          <w:rFonts w:cs="Arial"/>
        </w:rPr>
        <w:t>ö</w:t>
      </w:r>
      <w:r>
        <w:rPr>
          <w:rFonts w:cs="Arial"/>
        </w:rPr>
        <w:t>sisch, Spanisch, T</w:t>
      </w:r>
      <w:r>
        <w:rPr>
          <w:rFonts w:cs="Arial"/>
        </w:rPr>
        <w:t>ü</w:t>
      </w:r>
      <w:r>
        <w:rPr>
          <w:rFonts w:cs="Arial"/>
        </w:rPr>
        <w:t>rkisch, Russisch, Niederl</w:t>
      </w:r>
      <w:r>
        <w:rPr>
          <w:rFonts w:cs="Arial"/>
        </w:rPr>
        <w:t>ä</w:t>
      </w:r>
      <w:r>
        <w:rPr>
          <w:rFonts w:cs="Arial"/>
        </w:rPr>
        <w:t>ndisch ausgewiesen.</w:t>
      </w:r>
      <w:r>
        <w:rPr>
          <w:rFonts w:cs="Arial"/>
        </w:rPr>
        <w:br/>
        <w:t>Das Referenzniveau ist gem</w:t>
      </w:r>
      <w:r>
        <w:rPr>
          <w:rFonts w:cs="Arial"/>
        </w:rPr>
        <w:t>äß</w:t>
      </w:r>
      <w:r>
        <w:rPr>
          <w:rFonts w:cs="Arial"/>
        </w:rPr>
        <w:t xml:space="preserve"> folgender Tabelle einzutragen: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133"/>
        <w:gridCol w:w="832"/>
        <w:gridCol w:w="1480"/>
        <w:gridCol w:w="1480"/>
      </w:tblGrid>
      <w:tr w:rsidR="00000000" w14:paraId="3CD73097" w14:textId="77777777">
        <w:tc>
          <w:tcPr>
            <w:tcW w:w="10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3F1BA" w14:textId="77777777" w:rsidR="008A235D" w:rsidRDefault="008A235D">
            <w:pPr>
              <w:pStyle w:val="V-Normaltext"/>
              <w:widowControl/>
              <w:spacing w:before="10" w:after="30" w:line="130" w:lineRule="exact"/>
              <w:rPr>
                <w:rFonts w:cs="Arial"/>
              </w:rPr>
            </w:pPr>
          </w:p>
        </w:tc>
        <w:tc>
          <w:tcPr>
            <w:tcW w:w="7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D3F5D" w14:textId="77777777" w:rsidR="008A235D" w:rsidRDefault="008A235D">
            <w:pPr>
              <w:pStyle w:val="Fliedftexthf75P"/>
              <w:rPr>
                <w:rFonts w:cs="Arial"/>
              </w:rPr>
            </w:pPr>
            <w:r>
              <w:t>Englisch</w:t>
            </w:r>
          </w:p>
        </w:tc>
        <w:tc>
          <w:tcPr>
            <w:tcW w:w="138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4C7FA" w14:textId="77777777" w:rsidR="008A235D" w:rsidRDefault="008A235D">
            <w:pPr>
              <w:pStyle w:val="Fliedftexthf75P"/>
              <w:jc w:val="left"/>
              <w:rPr>
                <w:rFonts w:cs="Arial"/>
              </w:rPr>
            </w:pPr>
            <w:r>
              <w:t>Grundkurs der neu einsetzenden Fremdsprache</w:t>
            </w:r>
            <w:r>
              <w:br/>
              <w:t>(mit zw</w:t>
            </w:r>
            <w:r>
              <w:t>ö</w:t>
            </w:r>
            <w:r>
              <w:t>lf Semesterwochenstunden in der Einf</w:t>
            </w:r>
            <w:r>
              <w:t>ü</w:t>
            </w:r>
            <w:r>
              <w:t>hrungsphase)</w:t>
            </w:r>
          </w:p>
        </w:tc>
        <w:tc>
          <w:tcPr>
            <w:tcW w:w="138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87897" w14:textId="77777777" w:rsidR="008A235D" w:rsidRDefault="008A235D">
            <w:pPr>
              <w:pStyle w:val="Fliedftexthf75P"/>
              <w:jc w:val="left"/>
              <w:rPr>
                <w:rFonts w:cs="Arial"/>
              </w:rPr>
            </w:pPr>
            <w:r>
              <w:t xml:space="preserve">Kurs </w:t>
            </w:r>
            <w:r>
              <w:t>„</w:t>
            </w:r>
            <w:r>
              <w:t>Einf</w:t>
            </w:r>
            <w:r>
              <w:t>ü</w:t>
            </w:r>
            <w:r>
              <w:t>hrung in die neu einsetzende Fremdsprache</w:t>
            </w:r>
            <w:r>
              <w:t>“</w:t>
            </w:r>
            <w:r>
              <w:t xml:space="preserve"> (nach drei Semestern fortlaufendem Unterricht mit mindestens zw</w:t>
            </w:r>
            <w:r>
              <w:t>ö</w:t>
            </w:r>
            <w:r>
              <w:t xml:space="preserve">lf </w:t>
            </w:r>
            <w:r>
              <w:t>Semesterwochenstunden)</w:t>
            </w:r>
          </w:p>
        </w:tc>
      </w:tr>
      <w:tr w:rsidR="00000000" w14:paraId="6091439D" w14:textId="77777777">
        <w:tc>
          <w:tcPr>
            <w:tcW w:w="10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FF4BD" w14:textId="77777777" w:rsidR="008A235D" w:rsidRDefault="008A235D">
            <w:pPr>
              <w:pStyle w:val="V-Normaltext"/>
              <w:widowControl/>
              <w:spacing w:before="10" w:after="30" w:line="130" w:lineRule="exact"/>
              <w:rPr>
                <w:rFonts w:cs="Arial"/>
              </w:rPr>
            </w:pPr>
            <w:r>
              <w:rPr>
                <w:sz w:val="13"/>
              </w:rPr>
              <w:t>Qualifikations-</w:t>
            </w:r>
            <w:r>
              <w:rPr>
                <w:sz w:val="13"/>
              </w:rPr>
              <w:br/>
              <w:t>phase 1</w:t>
            </w:r>
          </w:p>
        </w:tc>
        <w:tc>
          <w:tcPr>
            <w:tcW w:w="77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CAF02" w14:textId="77777777" w:rsidR="008A235D" w:rsidRDefault="008A235D">
            <w:pPr>
              <w:pStyle w:val="V-Normaltext"/>
              <w:widowControl/>
              <w:spacing w:before="10" w:after="30" w:line="150" w:lineRule="exact"/>
              <w:jc w:val="center"/>
              <w:rPr>
                <w:rFonts w:cs="Arial"/>
              </w:rPr>
            </w:pPr>
            <w:r>
              <w:rPr>
                <w:b w:val="0"/>
              </w:rPr>
              <w:t>B2</w:t>
            </w:r>
          </w:p>
        </w:tc>
        <w:tc>
          <w:tcPr>
            <w:tcW w:w="138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2A9FA" w14:textId="77777777" w:rsidR="008A235D" w:rsidRDefault="008A235D">
            <w:pPr>
              <w:pStyle w:val="V-Normaltext"/>
              <w:widowControl/>
              <w:spacing w:before="10" w:after="30" w:line="150" w:lineRule="exact"/>
              <w:jc w:val="center"/>
              <w:rPr>
                <w:rFonts w:cs="Arial"/>
              </w:rPr>
            </w:pPr>
            <w:r>
              <w:rPr>
                <w:b w:val="0"/>
              </w:rPr>
              <w:t>A2/B1</w:t>
            </w:r>
          </w:p>
        </w:tc>
        <w:tc>
          <w:tcPr>
            <w:tcW w:w="1382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FDC40" w14:textId="77777777" w:rsidR="008A235D" w:rsidRDefault="008A235D">
            <w:pPr>
              <w:pStyle w:val="V-Normaltext"/>
              <w:widowControl/>
              <w:spacing w:before="10" w:after="30" w:line="150" w:lineRule="exact"/>
              <w:jc w:val="center"/>
              <w:rPr>
                <w:rFonts w:cs="Arial"/>
              </w:rPr>
            </w:pPr>
            <w:r>
              <w:rPr>
                <w:b w:val="0"/>
              </w:rPr>
              <w:t>A2</w:t>
            </w:r>
          </w:p>
        </w:tc>
      </w:tr>
      <w:tr w:rsidR="00000000" w14:paraId="791D2B1B" w14:textId="77777777">
        <w:tc>
          <w:tcPr>
            <w:tcW w:w="10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BB900" w14:textId="77777777" w:rsidR="008A235D" w:rsidRDefault="008A235D">
            <w:pPr>
              <w:pStyle w:val="V-Normaltext"/>
              <w:widowControl/>
              <w:spacing w:before="10" w:after="30" w:line="130" w:lineRule="exact"/>
              <w:rPr>
                <w:rFonts w:cs="Arial"/>
              </w:rPr>
            </w:pPr>
            <w:r>
              <w:rPr>
                <w:sz w:val="13"/>
              </w:rPr>
              <w:t>Qualifikations-</w:t>
            </w:r>
            <w:r>
              <w:rPr>
                <w:sz w:val="13"/>
              </w:rPr>
              <w:br/>
              <w:t>phase 2</w:t>
            </w:r>
          </w:p>
        </w:tc>
        <w:tc>
          <w:tcPr>
            <w:tcW w:w="77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4FC1B" w14:textId="77777777" w:rsidR="008A235D" w:rsidRDefault="008A235D">
            <w:pPr>
              <w:pStyle w:val="V-Normaltext"/>
              <w:widowControl/>
              <w:spacing w:before="10" w:after="30" w:line="150" w:lineRule="exact"/>
              <w:jc w:val="center"/>
              <w:rPr>
                <w:rFonts w:cs="Arial"/>
              </w:rPr>
            </w:pPr>
            <w:r>
              <w:rPr>
                <w:b w:val="0"/>
              </w:rPr>
              <w:t>B2/C1</w:t>
            </w:r>
          </w:p>
        </w:tc>
        <w:tc>
          <w:tcPr>
            <w:tcW w:w="138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8801C" w14:textId="77777777" w:rsidR="008A235D" w:rsidRDefault="008A235D">
            <w:pPr>
              <w:pStyle w:val="V-Normaltext"/>
              <w:widowControl/>
              <w:spacing w:before="10" w:after="30" w:line="150" w:lineRule="exact"/>
              <w:jc w:val="center"/>
              <w:rPr>
                <w:rFonts w:cs="Arial"/>
              </w:rPr>
            </w:pPr>
            <w:r>
              <w:rPr>
                <w:b w:val="0"/>
              </w:rPr>
              <w:t>B1/B2</w:t>
            </w:r>
          </w:p>
        </w:tc>
        <w:tc>
          <w:tcPr>
            <w:tcW w:w="1382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78603" w14:textId="77777777" w:rsidR="008A235D" w:rsidRDefault="008A235D">
            <w:pPr>
              <w:pStyle w:val="V-Normaltext"/>
              <w:widowControl/>
              <w:spacing w:before="10" w:after="30" w:line="150" w:lineRule="exact"/>
              <w:jc w:val="center"/>
            </w:pPr>
          </w:p>
        </w:tc>
      </w:tr>
      <w:tr w:rsidR="00000000" w14:paraId="6991C96E" w14:textId="77777777">
        <w:tc>
          <w:tcPr>
            <w:tcW w:w="4598" w:type="dxa"/>
            <w:gridSpan w:val="4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B9B20" w14:textId="77777777" w:rsidR="008A235D" w:rsidRDefault="008A235D">
            <w:pPr>
              <w:pStyle w:val="Fliedftext"/>
              <w:rPr>
                <w:rFonts w:cs="Calibri"/>
              </w:rPr>
            </w:pPr>
            <w:r>
              <w:t>A1 und A2 - elementare Sprachverwendung</w:t>
            </w:r>
          </w:p>
          <w:p w14:paraId="2B4AFF41" w14:textId="77777777" w:rsidR="008A235D" w:rsidRDefault="008A235D">
            <w:pPr>
              <w:pStyle w:val="Fliedftext"/>
              <w:rPr>
                <w:rFonts w:cs="Calibri"/>
              </w:rPr>
            </w:pPr>
            <w:r>
              <w:t>B2 und B2 - selbstst</w:t>
            </w:r>
            <w:r>
              <w:t>ä</w:t>
            </w:r>
            <w:r>
              <w:t>ndige Sprachverwendung</w:t>
            </w:r>
          </w:p>
          <w:p w14:paraId="772F385A" w14:textId="77777777" w:rsidR="008A235D" w:rsidRDefault="008A235D">
            <w:pPr>
              <w:pStyle w:val="Fliedftext"/>
              <w:rPr>
                <w:rFonts w:cs="Calibri"/>
              </w:rPr>
            </w:pPr>
            <w:r>
              <w:t>C2 und C2 - kompetente Sprachverwendung</w:t>
            </w:r>
          </w:p>
        </w:tc>
      </w:tr>
    </w:tbl>
    <w:p w14:paraId="18E9812A" w14:textId="77777777" w:rsidR="008A235D" w:rsidRDefault="008A235D">
      <w:pPr>
        <w:pStyle w:val="FliedftextAufze4hlungauto123AnfangE05"/>
      </w:pPr>
      <w:r>
        <w:rPr>
          <w:rFonts w:cs="Arial"/>
        </w:rPr>
        <w:t>1.</w:t>
      </w:r>
      <w:r>
        <w:rPr>
          <w:rFonts w:cs="Arial"/>
        </w:rPr>
        <w:tab/>
      </w:r>
      <w:r>
        <w:br/>
      </w:r>
      <w:r>
        <w:rPr>
          <w:rFonts w:cs="Arial"/>
        </w:rPr>
        <w:t>Sind f</w:t>
      </w:r>
      <w:r>
        <w:rPr>
          <w:rFonts w:cs="Arial"/>
        </w:rPr>
        <w:t>ü</w:t>
      </w:r>
      <w:r>
        <w:rPr>
          <w:rFonts w:cs="Arial"/>
        </w:rPr>
        <w:t>r eine Sprache zwei Referenzniveaus ausgewiesen, ist das niedrigere in vollem Umfang, das h</w:t>
      </w:r>
      <w:r>
        <w:rPr>
          <w:rFonts w:cs="Arial"/>
        </w:rPr>
        <w:t>ö</w:t>
      </w:r>
      <w:r>
        <w:rPr>
          <w:rFonts w:cs="Arial"/>
        </w:rPr>
        <w:t>here in Anteilen erreicht.</w:t>
      </w:r>
      <w:r>
        <w:rPr>
          <w:rFonts w:cs="Arial"/>
        </w:rPr>
        <w:br/>
        <w:t xml:space="preserve">Die Referenzniveaus des GeR sind bei mindestens ausreichenden Leistungen bzw. 5 Punkten am Ende der angegebenen Jahrgangs-stufe erreicht. Entspricht eine fremdsprachliche Leistung im Abschluss- oder Abgangszeugnis nicht diesen Anforderungen, so ist das erzielte Referenzniveau des GeR </w:t>
      </w:r>
      <w:r>
        <w:rPr>
          <w:rFonts w:cs="Arial"/>
        </w:rPr>
        <w:t>ü</w:t>
      </w:r>
      <w:r>
        <w:rPr>
          <w:rFonts w:cs="Arial"/>
        </w:rPr>
        <w:t>ber die mindestens mit der Note ausreichend bzw. 5 Punkte bewertete Leistung der n</w:t>
      </w:r>
      <w:r>
        <w:rPr>
          <w:rFonts w:cs="Arial"/>
        </w:rPr>
        <w:t>ä</w:t>
      </w:r>
      <w:r>
        <w:rPr>
          <w:rFonts w:cs="Arial"/>
        </w:rPr>
        <w:t>chst niedrigen Jahrgangsstufe gem</w:t>
      </w:r>
      <w:r>
        <w:rPr>
          <w:rFonts w:cs="Arial"/>
        </w:rPr>
        <w:t>äß</w:t>
      </w:r>
      <w:r>
        <w:rPr>
          <w:rFonts w:cs="Arial"/>
        </w:rPr>
        <w:t xml:space="preserve"> der Tabelle zu setzen. F</w:t>
      </w:r>
      <w:r>
        <w:rPr>
          <w:rFonts w:cs="Arial"/>
        </w:rPr>
        <w:t>ü</w:t>
      </w:r>
      <w:r>
        <w:rPr>
          <w:rFonts w:cs="Arial"/>
        </w:rPr>
        <w:t>r das Abiturzeugnis wird die Leistung am Ende der Qualifikationsphase zugrunde gelegt.</w:t>
      </w:r>
      <w:r>
        <w:rPr>
          <w:rFonts w:cs="Arial"/>
        </w:rPr>
        <w:br/>
        <w:t>Das Zeugnis enth</w:t>
      </w:r>
      <w:r>
        <w:rPr>
          <w:rFonts w:cs="Arial"/>
        </w:rPr>
        <w:t>ä</w:t>
      </w:r>
      <w:r>
        <w:rPr>
          <w:rFonts w:cs="Arial"/>
        </w:rPr>
        <w:t>lt folgende Bemerkung: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985"/>
        <w:gridCol w:w="985"/>
        <w:gridCol w:w="2955"/>
      </w:tblGrid>
      <w:tr w:rsidR="00000000" w14:paraId="142EA7FD" w14:textId="77777777">
        <w:tc>
          <w:tcPr>
            <w:tcW w:w="91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CF9EE" w14:textId="77777777" w:rsidR="008A235D" w:rsidRDefault="008A235D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</w:rPr>
              <w:t>„</w:t>
            </w:r>
            <w:r>
              <w:rPr>
                <w:b w:val="0"/>
              </w:rPr>
              <w:t>Fach:</w:t>
            </w:r>
          </w:p>
        </w:tc>
        <w:tc>
          <w:tcPr>
            <w:tcW w:w="91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CF8D9" w14:textId="77777777" w:rsidR="008A235D" w:rsidRDefault="008A235D">
            <w:pPr>
              <w:pStyle w:val="ZelleHaupttext"/>
              <w:widowControl/>
            </w:pPr>
          </w:p>
        </w:tc>
        <w:tc>
          <w:tcPr>
            <w:tcW w:w="274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3916C" w14:textId="77777777" w:rsidR="008A235D" w:rsidRDefault="008A235D">
            <w:pPr>
              <w:pStyle w:val="ZelleHaupttext"/>
              <w:widowControl/>
            </w:pPr>
            <w:r>
              <w:rPr>
                <w:rFonts w:cs="Calibri"/>
                <w:b w:val="0"/>
              </w:rPr>
              <w:t>Semester:</w:t>
            </w:r>
          </w:p>
        </w:tc>
      </w:tr>
      <w:tr w:rsidR="00000000" w14:paraId="6664C558" w14:textId="77777777">
        <w:tc>
          <w:tcPr>
            <w:tcW w:w="4575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F60E3" w14:textId="77777777" w:rsidR="008A235D" w:rsidRDefault="008A235D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___________:__________ von ____________ bis ____________</w:t>
            </w:r>
          </w:p>
        </w:tc>
      </w:tr>
      <w:tr w:rsidR="00000000" w14:paraId="1B7A6FD7" w14:textId="77777777">
        <w:tc>
          <w:tcPr>
            <w:tcW w:w="4575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3BBDA" w14:textId="77777777" w:rsidR="008A235D" w:rsidRDefault="008A235D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___________:__________ von ____________ bis ____________</w:t>
            </w:r>
          </w:p>
        </w:tc>
      </w:tr>
      <w:tr w:rsidR="00000000" w14:paraId="70F4230F" w14:textId="77777777">
        <w:tc>
          <w:tcPr>
            <w:tcW w:w="4575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1562F" w14:textId="77777777" w:rsidR="008A235D" w:rsidRDefault="008A235D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___________:__________ von ____________ bis ____________</w:t>
            </w:r>
          </w:p>
        </w:tc>
      </w:tr>
      <w:tr w:rsidR="00000000" w14:paraId="3E6D8C62" w14:textId="77777777">
        <w:tc>
          <w:tcPr>
            <w:tcW w:w="4575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1FC6B" w14:textId="77777777" w:rsidR="008A235D" w:rsidRDefault="008A235D">
            <w:pPr>
              <w:pStyle w:val="ZelleHaupttext"/>
              <w:widowControl/>
              <w:rPr>
                <w:rFonts w:cs="Calibri"/>
              </w:rPr>
            </w:pPr>
            <w:r>
              <w:rPr>
                <w:rFonts w:cs="Calibri"/>
                <w:b w:val="0"/>
                <w:lang w:val="de-DE"/>
              </w:rPr>
              <w:t>F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r die modernen Fremdsprachen schlie</w:t>
            </w:r>
            <w:r>
              <w:rPr>
                <w:rFonts w:cs="Calibri"/>
                <w:b w:val="0"/>
                <w:lang w:val="de-DE"/>
              </w:rPr>
              <w:t>ß</w:t>
            </w:r>
            <w:r>
              <w:rPr>
                <w:rFonts w:cs="Calibri"/>
                <w:b w:val="0"/>
                <w:lang w:val="de-DE"/>
              </w:rPr>
              <w:t>t dieses Zeugnis Kompetenzen des Gemeinsamen europ</w:t>
            </w:r>
            <w:r>
              <w:rPr>
                <w:rFonts w:cs="Calibri"/>
                <w:b w:val="0"/>
                <w:lang w:val="de-DE"/>
              </w:rPr>
              <w:t>ä</w:t>
            </w:r>
            <w:r>
              <w:rPr>
                <w:rFonts w:cs="Calibri"/>
                <w:b w:val="0"/>
                <w:lang w:val="de-DE"/>
              </w:rPr>
              <w:t>ischen Referenzrahmens f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r Sprachen (GeR) ein.</w:t>
            </w:r>
            <w:r>
              <w:rPr>
                <w:rStyle w:val="FNhochgestellt"/>
                <w:b w:val="0"/>
                <w:sz w:val="15"/>
                <w:lang w:val="de-DE"/>
              </w:rPr>
              <w:t>Fu</w:t>
            </w:r>
            <w:r>
              <w:rPr>
                <w:rStyle w:val="FNhochgestellt"/>
                <w:b w:val="0"/>
                <w:sz w:val="15"/>
                <w:lang w:val="de-DE"/>
              </w:rPr>
              <w:t>ß</w:t>
            </w:r>
            <w:r>
              <w:rPr>
                <w:rStyle w:val="FNhochgestellt"/>
                <w:b w:val="0"/>
                <w:sz w:val="15"/>
                <w:lang w:val="de-DE"/>
              </w:rPr>
              <w:t>note)</w:t>
            </w:r>
          </w:p>
        </w:tc>
      </w:tr>
      <w:tr w:rsidR="00000000" w14:paraId="6132A479" w14:textId="77777777">
        <w:tc>
          <w:tcPr>
            <w:tcW w:w="4575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F5A94" w14:textId="77777777" w:rsidR="008A235D" w:rsidRDefault="008A235D">
            <w:pPr>
              <w:pStyle w:val="Fudfnote"/>
              <w:ind w:left="540" w:hanging="540"/>
              <w:rPr>
                <w:rFonts w:cs="Calibri"/>
              </w:rPr>
            </w:pPr>
            <w:r>
              <w:t>Fu</w:t>
            </w:r>
            <w:r>
              <w:t>ß</w:t>
            </w:r>
            <w:r>
              <w:t>note) Sind f</w:t>
            </w:r>
            <w:r>
              <w:t>ü</w:t>
            </w:r>
            <w:r>
              <w:t>r eine Sprache zwei Referenzniveaus ausgewiesen, ist das niedrigere in vollem Umfang, das h</w:t>
            </w:r>
            <w:r>
              <w:t>ö</w:t>
            </w:r>
            <w:r>
              <w:t>here in Anteilen erreicht.</w:t>
            </w:r>
            <w:r>
              <w:t>“</w:t>
            </w:r>
          </w:p>
        </w:tc>
      </w:tr>
    </w:tbl>
    <w:p w14:paraId="6EDCA573" w14:textId="77777777" w:rsidR="008A235D" w:rsidRDefault="008A235D">
      <w:pPr>
        <w:pStyle w:val="FliedftextAufze4hlungauto123E05"/>
      </w:pPr>
      <w:r>
        <w:t>2.</w:t>
      </w:r>
      <w:r>
        <w:tab/>
      </w:r>
      <w:r>
        <w:rPr>
          <w:rFonts w:cs="Calibri"/>
        </w:rPr>
        <w:t>Anlage 2 - Seite 3 - erh</w:t>
      </w:r>
      <w:r>
        <w:rPr>
          <w:rFonts w:cs="Calibri"/>
        </w:rPr>
        <w:t>ä</w:t>
      </w:r>
      <w:r>
        <w:rPr>
          <w:rFonts w:cs="Calibri"/>
        </w:rPr>
        <w:t xml:space="preserve">lt zwischen </w:t>
      </w:r>
      <w:r>
        <w:rPr>
          <w:rFonts w:cs="Calibri"/>
        </w:rPr>
        <w:t>„</w:t>
      </w:r>
      <w:r>
        <w:rPr>
          <w:rFonts w:cs="Calibri"/>
        </w:rPr>
        <w:t>Bemerkungen</w:t>
      </w:r>
      <w:r>
        <w:rPr>
          <w:rFonts w:cs="Calibri"/>
        </w:rPr>
        <w:t>“</w:t>
      </w:r>
      <w:r>
        <w:rPr>
          <w:rFonts w:cs="Calibri"/>
        </w:rPr>
        <w:t xml:space="preserve"> und </w:t>
      </w:r>
      <w:r>
        <w:rPr>
          <w:rFonts w:cs="Calibri"/>
        </w:rPr>
        <w:t>„</w:t>
      </w:r>
      <w:r>
        <w:rPr>
          <w:rFonts w:cs="Calibri"/>
        </w:rPr>
        <w:t>Angaben zum au</w:t>
      </w:r>
      <w:r>
        <w:rPr>
          <w:rFonts w:cs="Calibri"/>
        </w:rPr>
        <w:t>ß</w:t>
      </w:r>
      <w:r>
        <w:rPr>
          <w:rFonts w:cs="Calibri"/>
        </w:rPr>
        <w:t>erunterrichtlichen Engagement</w:t>
      </w:r>
      <w:r>
        <w:rPr>
          <w:rFonts w:cs="Calibri"/>
        </w:rPr>
        <w:t>“</w:t>
      </w:r>
      <w:r>
        <w:rPr>
          <w:rFonts w:cs="Calibri"/>
        </w:rPr>
        <w:t xml:space="preserve"> folgende Erg</w:t>
      </w:r>
      <w:r>
        <w:rPr>
          <w:rFonts w:cs="Calibri"/>
        </w:rPr>
        <w:t>ä</w:t>
      </w:r>
      <w:r>
        <w:rPr>
          <w:rFonts w:cs="Calibri"/>
        </w:rPr>
        <w:t>nzung: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985"/>
        <w:gridCol w:w="985"/>
        <w:gridCol w:w="2955"/>
      </w:tblGrid>
      <w:tr w:rsidR="00000000" w14:paraId="79DC9A85" w14:textId="77777777">
        <w:tc>
          <w:tcPr>
            <w:tcW w:w="4575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41169" w14:textId="77777777" w:rsidR="008A235D" w:rsidRDefault="008A235D">
            <w:pPr>
              <w:pStyle w:val="ZelleHaupttext"/>
              <w:widowControl/>
            </w:pPr>
            <w:r>
              <w:rPr>
                <w:rFonts w:cs="Calibri"/>
                <w:b w:val="0"/>
                <w:lang w:val="de-DE"/>
              </w:rPr>
              <w:t>„</w:t>
            </w:r>
            <w:r>
              <w:rPr>
                <w:rFonts w:cs="Calibri"/>
                <w:b w:val="0"/>
                <w:lang w:val="de-DE"/>
              </w:rPr>
              <w:t>Fremdsprachennachweise</w:t>
            </w:r>
          </w:p>
        </w:tc>
      </w:tr>
      <w:tr w:rsidR="00000000" w14:paraId="4EC96AF5" w14:textId="77777777">
        <w:tc>
          <w:tcPr>
            <w:tcW w:w="91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0D50F" w14:textId="77777777" w:rsidR="008A235D" w:rsidRDefault="008A235D">
            <w:pPr>
              <w:pStyle w:val="ZelleHaupttext"/>
              <w:widowControl/>
            </w:pPr>
            <w:r>
              <w:rPr>
                <w:rFonts w:cs="Calibri"/>
                <w:b w:val="0"/>
              </w:rPr>
              <w:t>Fach:</w:t>
            </w:r>
          </w:p>
        </w:tc>
        <w:tc>
          <w:tcPr>
            <w:tcW w:w="91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A53ED" w14:textId="77777777" w:rsidR="008A235D" w:rsidRDefault="008A235D">
            <w:pPr>
              <w:pStyle w:val="ZelleHaupttext"/>
              <w:widowControl/>
              <w:rPr>
                <w:rFonts w:cs="Calibri"/>
              </w:rPr>
            </w:pPr>
          </w:p>
        </w:tc>
        <w:tc>
          <w:tcPr>
            <w:tcW w:w="274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27CC5" w14:textId="77777777" w:rsidR="008A235D" w:rsidRDefault="008A235D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</w:rPr>
              <w:t>Semester:</w:t>
            </w:r>
          </w:p>
        </w:tc>
      </w:tr>
      <w:tr w:rsidR="00000000" w14:paraId="7B372E2F" w14:textId="77777777">
        <w:tc>
          <w:tcPr>
            <w:tcW w:w="4575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9073B" w14:textId="77777777" w:rsidR="008A235D" w:rsidRDefault="008A235D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___________:__________ von ____________ bis ____________</w:t>
            </w:r>
          </w:p>
        </w:tc>
      </w:tr>
      <w:tr w:rsidR="00000000" w14:paraId="3636CA8A" w14:textId="77777777">
        <w:tc>
          <w:tcPr>
            <w:tcW w:w="4575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3B36B" w14:textId="77777777" w:rsidR="008A235D" w:rsidRDefault="008A235D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___________:__________ von ____________ bis ____________</w:t>
            </w:r>
          </w:p>
        </w:tc>
      </w:tr>
      <w:tr w:rsidR="00000000" w14:paraId="2BDB5842" w14:textId="77777777">
        <w:tc>
          <w:tcPr>
            <w:tcW w:w="4575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4F296" w14:textId="77777777" w:rsidR="008A235D" w:rsidRDefault="008A235D">
            <w:pPr>
              <w:pStyle w:val="ZelleHaupttext"/>
              <w:widowControl/>
              <w:rPr>
                <w:rFonts w:cs="Calibri"/>
              </w:rPr>
            </w:pPr>
            <w:r>
              <w:rPr>
                <w:b w:val="0"/>
                <w:lang w:val="de-DE"/>
              </w:rPr>
              <w:t>___________:__________ von ____________ bis ____________</w:t>
            </w:r>
          </w:p>
        </w:tc>
      </w:tr>
      <w:tr w:rsidR="00000000" w14:paraId="57963CA7" w14:textId="77777777">
        <w:tc>
          <w:tcPr>
            <w:tcW w:w="4575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5A7E2" w14:textId="77777777" w:rsidR="008A235D" w:rsidRDefault="008A235D">
            <w:pPr>
              <w:pStyle w:val="ZelleHaupttext"/>
              <w:widowControl/>
            </w:pPr>
            <w:r>
              <w:rPr>
                <w:b w:val="0"/>
                <w:lang w:val="de-DE"/>
              </w:rPr>
              <w:t>F</w:t>
            </w:r>
            <w:r>
              <w:rPr>
                <w:b w:val="0"/>
                <w:lang w:val="de-DE"/>
              </w:rPr>
              <w:t>ü</w:t>
            </w:r>
            <w:r>
              <w:rPr>
                <w:b w:val="0"/>
                <w:lang w:val="de-DE"/>
              </w:rPr>
              <w:t>r die modernen Fremdsprachen schlie</w:t>
            </w:r>
            <w:r>
              <w:rPr>
                <w:b w:val="0"/>
                <w:lang w:val="de-DE"/>
              </w:rPr>
              <w:t>ß</w:t>
            </w:r>
            <w:r>
              <w:rPr>
                <w:b w:val="0"/>
                <w:lang w:val="de-DE"/>
              </w:rPr>
              <w:t>t dieses Zeugnis Kompetenzen des Gemeinsamen europ</w:t>
            </w:r>
            <w:r>
              <w:rPr>
                <w:b w:val="0"/>
                <w:lang w:val="de-DE"/>
              </w:rPr>
              <w:t>ä</w:t>
            </w:r>
            <w:r>
              <w:rPr>
                <w:b w:val="0"/>
                <w:lang w:val="de-DE"/>
              </w:rPr>
              <w:t>ischen Referenzrahmens f</w:t>
            </w:r>
            <w:r>
              <w:rPr>
                <w:b w:val="0"/>
                <w:lang w:val="de-DE"/>
              </w:rPr>
              <w:t>ü</w:t>
            </w:r>
            <w:r>
              <w:rPr>
                <w:b w:val="0"/>
                <w:lang w:val="de-DE"/>
              </w:rPr>
              <w:t>r Sprachen (GeR) ein.</w:t>
            </w:r>
            <w:r>
              <w:rPr>
                <w:rStyle w:val="FNhochgestellt"/>
                <w:rFonts w:cs="Calibri"/>
                <w:b w:val="0"/>
                <w:sz w:val="15"/>
                <w:lang w:val="de-DE"/>
              </w:rPr>
              <w:t>Fu</w:t>
            </w:r>
            <w:r>
              <w:rPr>
                <w:rStyle w:val="FNhochgestellt"/>
                <w:rFonts w:cs="Calibri"/>
                <w:b w:val="0"/>
                <w:sz w:val="15"/>
                <w:lang w:val="de-DE"/>
              </w:rPr>
              <w:t>ß</w:t>
            </w:r>
            <w:r>
              <w:rPr>
                <w:rStyle w:val="FNhochgestellt"/>
                <w:rFonts w:cs="Calibri"/>
                <w:b w:val="0"/>
                <w:sz w:val="15"/>
                <w:lang w:val="de-DE"/>
              </w:rPr>
              <w:t>note)</w:t>
            </w:r>
          </w:p>
        </w:tc>
      </w:tr>
      <w:tr w:rsidR="00000000" w14:paraId="0A35CAF9" w14:textId="77777777">
        <w:tc>
          <w:tcPr>
            <w:tcW w:w="4575" w:type="dxa"/>
            <w:gridSpan w:val="3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1AB4F" w14:textId="77777777" w:rsidR="008A235D" w:rsidRDefault="008A235D">
            <w:pPr>
              <w:pStyle w:val="Fudfnote"/>
              <w:ind w:left="540" w:hanging="540"/>
            </w:pPr>
            <w:r>
              <w:rPr>
                <w:rFonts w:cs="Calibri"/>
              </w:rPr>
              <w:t>Fu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note) Sind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eine Sprache zwei Referenzniveaus ausgewiesen, ist das niedrigere in vollem Umfang, das 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here in Anteilen erreicht.</w:t>
            </w:r>
            <w:r>
              <w:rPr>
                <w:rFonts w:cs="Calibri"/>
              </w:rPr>
              <w:t>“</w:t>
            </w:r>
          </w:p>
        </w:tc>
      </w:tr>
    </w:tbl>
    <w:p w14:paraId="4CB85AB1" w14:textId="77777777" w:rsidR="008A235D" w:rsidRDefault="008A235D">
      <w:pPr>
        <w:pStyle w:val="FliedftextAufze4hlungauto123E05"/>
      </w:pPr>
      <w:r>
        <w:rPr>
          <w:rFonts w:cs="Calibri"/>
        </w:rPr>
        <w:t>3.</w:t>
      </w:r>
      <w:r>
        <w:rPr>
          <w:rFonts w:cs="Calibri"/>
        </w:rPr>
        <w:tab/>
      </w:r>
      <w:r>
        <w:t>Die Erl</w:t>
      </w:r>
      <w:r>
        <w:t>ä</w:t>
      </w:r>
      <w:r>
        <w:t>uterung in Anlage 3 - Seite 4 - Nummer IV Absatz 2 erh</w:t>
      </w:r>
      <w:r>
        <w:t>ä</w:t>
      </w:r>
      <w:r>
        <w:t>lt folgende Fassung:</w:t>
      </w:r>
      <w:r>
        <w:br/>
      </w:r>
      <w:r>
        <w:t>„</w:t>
      </w:r>
      <w:r>
        <w:t>F</w:t>
      </w:r>
      <w:r>
        <w:t>ü</w:t>
      </w:r>
      <w:r>
        <w:t>r die modernen Fremdsprachen schlie</w:t>
      </w:r>
      <w:r>
        <w:t>ß</w:t>
      </w:r>
      <w:r>
        <w:t>t dieses Zeugnis Kompetenzen des Gemeinsamen europ</w:t>
      </w:r>
      <w:r>
        <w:t>ä</w:t>
      </w:r>
      <w:r>
        <w:t>ischen Referenzrahmens f</w:t>
      </w:r>
      <w:r>
        <w:t>ü</w:t>
      </w:r>
      <w:r>
        <w:t>r Sprachen (GeR) ein.</w:t>
      </w:r>
      <w:r>
        <w:rPr>
          <w:rStyle w:val="FNhochgestellt"/>
          <w:rFonts w:cs="Calibri"/>
          <w:sz w:val="15"/>
        </w:rPr>
        <w:t>Fu</w:t>
      </w:r>
      <w:r>
        <w:rPr>
          <w:rStyle w:val="FNhochgestellt"/>
          <w:rFonts w:cs="Calibri"/>
          <w:sz w:val="15"/>
        </w:rPr>
        <w:t>ß</w:t>
      </w:r>
      <w:r>
        <w:rPr>
          <w:rStyle w:val="FNhochgestellt"/>
          <w:rFonts w:cs="Calibri"/>
          <w:sz w:val="15"/>
        </w:rPr>
        <w:t>note)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925"/>
      </w:tblGrid>
      <w:tr w:rsidR="00000000" w14:paraId="50ECFCED" w14:textId="77777777">
        <w:tc>
          <w:tcPr>
            <w:tcW w:w="457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C26E5" w14:textId="77777777" w:rsidR="008A235D" w:rsidRDefault="008A235D">
            <w:pPr>
              <w:pStyle w:val="Fudfnote"/>
              <w:ind w:left="540" w:hanging="540"/>
            </w:pPr>
            <w:r>
              <w:rPr>
                <w:rFonts w:cs="Calibri"/>
              </w:rPr>
              <w:t>Fu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note) Sind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eine Sprache zwei Referenzniveaus ausgewiesen, ist das niedrigere in vollem Umfang, das 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here in Anteilen erreicht.</w:t>
            </w:r>
            <w:r>
              <w:rPr>
                <w:rFonts w:cs="Calibri"/>
              </w:rPr>
              <w:t>“</w:t>
            </w:r>
          </w:p>
        </w:tc>
      </w:tr>
    </w:tbl>
    <w:p w14:paraId="2EAFF2DB" w14:textId="77777777" w:rsidR="008A235D" w:rsidRDefault="008A235D">
      <w:pPr>
        <w:pStyle w:val="FliedftextAufze4hlungauto123E05"/>
        <w:sectPr w:rsidR="00000000">
          <w:footerReference w:type="even" r:id="rId7"/>
          <w:footnotePr>
            <w:numRestart w:val="eachPage"/>
          </w:footnotePr>
          <w:endnotePr>
            <w:numRestart w:val="eachSect"/>
          </w:endnotePr>
          <w:pgSz w:w="11906" w:h="16838"/>
          <w:pgMar w:top="1118" w:right="784" w:bottom="706" w:left="1124" w:header="720" w:footer="720" w:gutter="0"/>
          <w:pgNumType w:chapSep="period"/>
          <w:cols w:num="2" w:space="227"/>
        </w:sectPr>
      </w:pPr>
      <w:r>
        <w:rPr>
          <w:rFonts w:cs="Calibri"/>
        </w:rPr>
        <w:t>3.</w:t>
      </w:r>
      <w:r>
        <w:rPr>
          <w:rFonts w:cs="Calibri"/>
        </w:rPr>
        <w:tab/>
      </w:r>
    </w:p>
    <w:p w14:paraId="2F047E79" w14:textId="77777777" w:rsidR="008A235D" w:rsidRDefault="008A235D">
      <w:pPr>
        <w:pStyle w:val="Fliedftext"/>
        <w:jc w:val="right"/>
      </w:pPr>
      <w:r>
        <w:rPr>
          <w:rFonts w:cs="Calibri"/>
        </w:rPr>
        <w:lastRenderedPageBreak/>
        <w:t>ABl. NRW. 06/15 S. 274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826" w:bottom="706" w:left="6970" w:header="720" w:footer="720" w:gutter="0"/>
      <w:pgNumType w:chapSep="period"/>
      <w:cols w:space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8CFF1" w14:textId="77777777" w:rsidR="008A235D" w:rsidRDefault="008A235D">
      <w:r>
        <w:separator/>
      </w:r>
    </w:p>
  </w:endnote>
  <w:endnote w:type="continuationSeparator" w:id="0">
    <w:p w14:paraId="09661B71" w14:textId="77777777" w:rsidR="008A235D" w:rsidRDefault="008A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DFAA" w14:textId="77777777" w:rsidR="008A235D" w:rsidRDefault="008A235D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81E9" w14:textId="77777777" w:rsidR="008A235D" w:rsidRDefault="008A235D">
    <w:pPr>
      <w:widowControl/>
      <w:spacing w:before="10" w:after="10" w:line="150" w:lineRule="exact"/>
      <w:jc w:val="center"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9956B" w14:textId="77777777" w:rsidR="008A235D" w:rsidRDefault="008A235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EACE20F" w14:textId="77777777" w:rsidR="008A235D" w:rsidRDefault="008A235D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25AD8"/>
    <w:rsid w:val="00725AD8"/>
    <w:rsid w:val="008A235D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41405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2024-09-10T02:35:00Z</dcterms:created>
  <dcterms:modified xsi:type="dcterms:W3CDTF">2024-09-10T02:35:00Z</dcterms:modified>
</cp:coreProperties>
</file>