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AB05" w14:textId="77777777" w:rsidR="00644D38" w:rsidRDefault="00644D38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697FDAD7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277FB642" w14:textId="77777777" w:rsidR="00644D38" w:rsidRDefault="00644D38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Stellenanteile der Kommunalen Integrationszentren</w:t>
            </w:r>
          </w:p>
        </w:tc>
      </w:tr>
    </w:tbl>
    <w:p w14:paraId="68FB5447" w14:textId="77777777" w:rsidR="00644D38" w:rsidRDefault="00644D38">
      <w:pPr>
        <w:pStyle w:val="BASS-Nr-ABl"/>
        <w:widowControl/>
        <w:rPr>
          <w:rFonts w:cs="Arial"/>
        </w:rPr>
      </w:pPr>
      <w:r>
        <w:t>Zu BASS 12-21 Nr. 18</w:t>
      </w:r>
    </w:p>
    <w:p w14:paraId="0CDD1065" w14:textId="77777777" w:rsidR="00644D38" w:rsidRDefault="00644D38">
      <w:pPr>
        <w:pStyle w:val="Bass-dcber"/>
        <w:widowControl/>
      </w:pPr>
      <w:r>
        <w:rPr>
          <w:rFonts w:cs="Calibri"/>
        </w:rPr>
        <w:t xml:space="preserve">Kommunale Integrationszentren;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17CABC0D" w14:textId="77777777" w:rsidR="00644D38" w:rsidRDefault="00644D38">
      <w:pPr>
        <w:pStyle w:val="Zwischenfcber01"/>
        <w:keepNext/>
        <w:widowControl/>
        <w:rPr>
          <w:rFonts w:cs="Calibri"/>
        </w:rPr>
      </w:pPr>
      <w:r>
        <w:rPr>
          <w:rFonts w:cs="Calibri"/>
        </w:rPr>
        <w:t xml:space="preserve"> </w:t>
      </w: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579CEB87" w14:textId="77777777" w:rsidR="00644D38" w:rsidRDefault="00644D38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v. 23.03.2015 - 322-6.08.06.09-101487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07F6EC8E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A048BB6" w14:textId="77777777" w:rsidR="00644D38" w:rsidRDefault="00644D38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B708DA5" w14:textId="77777777" w:rsidR="00644D38" w:rsidRDefault="00644D38">
            <w:pPr>
              <w:pStyle w:val="Fliedftext"/>
              <w:jc w:val="left"/>
            </w:pPr>
            <w:r>
              <w:rPr>
                <w:rFonts w:cs="Arial"/>
              </w:rPr>
              <w:t>Gem. RdErl. d. Ministeriums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 und des Ministeriums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Arbeit, Integration und Soziales</w:t>
            </w:r>
            <w:r>
              <w:rPr>
                <w:rFonts w:cs="Arial"/>
              </w:rPr>
              <w:br/>
              <w:t>v. 25.06.2012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rPr>
                <w:rFonts w:cs="Arial"/>
              </w:rPr>
              <w:t xml:space="preserve"> 12 - 21 Nr. 18)</w:t>
            </w:r>
          </w:p>
        </w:tc>
      </w:tr>
    </w:tbl>
    <w:p w14:paraId="26DDAF7F" w14:textId="77777777" w:rsidR="00644D38" w:rsidRDefault="00644D38">
      <w:pPr>
        <w:pStyle w:val="Fliedftext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21A25F8C" w14:textId="77777777" w:rsidR="00644D38" w:rsidRDefault="00644D38">
      <w:pPr>
        <w:pStyle w:val="Fliedftext1EinzugabcE05"/>
        <w:rPr>
          <w:rFonts w:cs="Calibri"/>
        </w:rPr>
      </w:pPr>
      <w:r>
        <w:t>1.</w:t>
      </w:r>
      <w:r>
        <w:tab/>
        <w:t>Nummer 4.2 erh</w:t>
      </w:r>
      <w:r>
        <w:t>ä</w:t>
      </w:r>
      <w:r>
        <w:t xml:space="preserve">lt folgende Fassung: </w:t>
      </w:r>
      <w:r>
        <w:t>„</w:t>
      </w:r>
      <w:r>
        <w:t>In jedem Kommunalen Integrationszentrum arbeiten auf in der Regel zwei Vollzeitstellen vom Land freigestellte Lehrkr</w:t>
      </w:r>
      <w:r>
        <w:t>ä</w:t>
      </w:r>
      <w:r>
        <w:t>fte. Sofern eine Stelle mit Teilzeitkr</w:t>
      </w:r>
      <w:r>
        <w:t>ä</w:t>
      </w:r>
      <w:r>
        <w:t>ften besetzt wird, wird im Interesse der besseren Handhabung und ggf. Wiederbesetzung von Stellenanteilen eine Besetzung zu zwei gleichen Anteilen empfohlen.</w:t>
      </w:r>
      <w:r>
        <w:t>“</w:t>
      </w:r>
    </w:p>
    <w:p w14:paraId="6D38517A" w14:textId="77777777" w:rsidR="00644D38" w:rsidRDefault="00644D38">
      <w:pPr>
        <w:pStyle w:val="Fliedftext1EinzugabcE05"/>
        <w:rPr>
          <w:rFonts w:cs="Calibri"/>
        </w:rPr>
      </w:pPr>
      <w:r>
        <w:t>2.</w:t>
      </w:r>
      <w:r>
        <w:tab/>
        <w:t>Nummer 4.3 erh</w:t>
      </w:r>
      <w:r>
        <w:t>ä</w:t>
      </w:r>
      <w:r>
        <w:t xml:space="preserve">lt folgende Fassung: </w:t>
      </w:r>
      <w:r>
        <w:t>„</w:t>
      </w:r>
      <w:r>
        <w:t>Dar</w:t>
      </w:r>
      <w:r>
        <w:t>ü</w:t>
      </w:r>
      <w:r>
        <w:t>ber hinaus arbeiten in jedem Kommunalen Integrationszentrum kommunale Bedienstete, 3 Fachkr</w:t>
      </w:r>
      <w:r>
        <w:t>ä</w:t>
      </w:r>
      <w:r>
        <w:t xml:space="preserve">fte und eine </w:t>
      </w:r>
      <w:r>
        <w:t>½</w:t>
      </w:r>
      <w:r>
        <w:t xml:space="preserve"> Verwaltungsassistenzkraft, f</w:t>
      </w:r>
      <w:r>
        <w:t>ü</w:t>
      </w:r>
      <w:r>
        <w:t>r die das Land eine Zuwendung gew</w:t>
      </w:r>
      <w:r>
        <w:t>ä</w:t>
      </w:r>
      <w:r>
        <w:t>hrt (F</w:t>
      </w:r>
      <w:r>
        <w:t>ö</w:t>
      </w:r>
      <w:r>
        <w:t>rderung von Vollzeit</w:t>
      </w:r>
      <w:r>
        <w:t>ä</w:t>
      </w:r>
      <w:r>
        <w:t>quivalenten). Sofern eine Stelle mit Teilzeitkr</w:t>
      </w:r>
      <w:r>
        <w:t>ä</w:t>
      </w:r>
      <w:r>
        <w:t>ften besetzt wird, wird im Interesse der besseren Handhabung und ggf. Wiederbesetzung von Stellenanteilen eine Besetzung zu zwei gleichen Anteilen empfohlen.</w:t>
      </w:r>
      <w:r>
        <w:t>“</w:t>
      </w:r>
    </w:p>
    <w:p w14:paraId="249AAA6F" w14:textId="77777777" w:rsidR="00644D38" w:rsidRDefault="00644D38">
      <w:pPr>
        <w:pStyle w:val="Fliedftext"/>
      </w:pPr>
      <w:r>
        <w:rPr>
          <w:rFonts w:cs="Arial"/>
        </w:rPr>
        <w:t xml:space="preserve">Dieser Runderlass tritt mit sofortiger Wirkung in Kraft. </w:t>
      </w:r>
    </w:p>
    <w:p w14:paraId="5C893A91" w14:textId="77777777" w:rsidR="00644D38" w:rsidRDefault="00644D38">
      <w:pPr>
        <w:pStyle w:val="Fliedftext"/>
        <w:rPr>
          <w:rFonts w:cs="Arial"/>
        </w:rPr>
      </w:pPr>
    </w:p>
    <w:p w14:paraId="1798A924" w14:textId="77777777" w:rsidR="00644D38" w:rsidRDefault="00644D38">
      <w:pPr>
        <w:pStyle w:val="Fliedftext"/>
      </w:pPr>
    </w:p>
    <w:p w14:paraId="569D8319" w14:textId="77777777" w:rsidR="00644D38" w:rsidRDefault="00644D38">
      <w:pPr>
        <w:pStyle w:val="Fliedftext"/>
        <w:jc w:val="right"/>
      </w:pPr>
      <w:r>
        <w:rPr>
          <w:rFonts w:cs="Arial"/>
        </w:rPr>
        <w:t>ABl. NRW. 04/15 S. 177</w:t>
      </w:r>
    </w:p>
    <w:p w14:paraId="73BB38AF" w14:textId="77777777" w:rsidR="00644D38" w:rsidRDefault="00644D38">
      <w:pPr>
        <w:pStyle w:val="Fliedftext"/>
        <w:rPr>
          <w:rFonts w:cs="Arial"/>
        </w:rPr>
      </w:pPr>
    </w:p>
    <w:p w14:paraId="707A9346" w14:textId="77777777" w:rsidR="00644D38" w:rsidRDefault="00644D38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F1FC" w14:textId="77777777" w:rsidR="00644D38" w:rsidRDefault="00644D38">
      <w:r>
        <w:separator/>
      </w:r>
    </w:p>
  </w:endnote>
  <w:endnote w:type="continuationSeparator" w:id="0">
    <w:p w14:paraId="7C4875B3" w14:textId="77777777" w:rsidR="00644D38" w:rsidRDefault="0064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BB47" w14:textId="77777777" w:rsidR="00644D38" w:rsidRDefault="00644D38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12E0" w14:textId="77777777" w:rsidR="00644D38" w:rsidRDefault="00644D3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F8FF0A2" w14:textId="77777777" w:rsidR="00644D38" w:rsidRDefault="00644D3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629B"/>
    <w:rsid w:val="00644D38"/>
    <w:rsid w:val="00A339FA"/>
    <w:rsid w:val="00B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042C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