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58D" w:rsidRDefault="0080158D">
      <w:pPr>
        <w:pStyle w:val="Bass-Nr"/>
      </w:pPr>
      <w:r>
        <w:t>11-11 Nr. 4</w:t>
      </w:r>
    </w:p>
    <w:p w:rsidR="0080158D" w:rsidRDefault="0080158D">
      <w:pPr>
        <w:pStyle w:val="RVueberschrift1100fz"/>
      </w:pPr>
      <w:bookmarkStart w:id="0" w:name="11-11nr4"/>
      <w:bookmarkEnd w:id="0"/>
      <w:r>
        <w:t>Schule f</w:t>
      </w:r>
      <w:r>
        <w:t>ü</w:t>
      </w:r>
      <w:r>
        <w:t xml:space="preserve">r Kranke </w:t>
      </w:r>
      <w:r>
        <w:rPr>
          <w:rStyle w:val="kursiv"/>
          <w:sz w:val="20"/>
        </w:rPr>
        <w:t>(jetzt: Klinikschule)</w:t>
      </w:r>
      <w:r>
        <w:t xml:space="preserve"> - </w:t>
      </w:r>
      <w:r>
        <w:br/>
        <w:t>Ermittlung des Lehrerstellenbedarfs</w:t>
      </w:r>
    </w:p>
    <w:p w:rsidR="0080158D" w:rsidRDefault="0080158D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  <w:t>v. 2</w:t>
      </w:r>
      <w:r>
        <w:t>7.01.2015 (ABl. NRW. S. 71, berichtigt 03/15 S. 134)</w:t>
      </w:r>
    </w:p>
    <w:p w:rsidR="0080158D" w:rsidRDefault="0080158D">
      <w:pPr>
        <w:pStyle w:val="RVfliesstext175nb"/>
      </w:pPr>
      <w:r>
        <w:t>1 Die Ermittlung des Lehrerstellenbedarfs f</w:t>
      </w:r>
      <w:r>
        <w:t>ü</w:t>
      </w:r>
      <w:r>
        <w:t>r ein Schuljahr stellt auf die durchschnittliche Sch</w:t>
      </w:r>
      <w:r>
        <w:t>ü</w:t>
      </w:r>
      <w:r>
        <w:t>lerzahl des jeweils vorangegangenen Schuljahres ab. Hierbei werden diejenigen Sch</w:t>
      </w:r>
      <w:r>
        <w:t>ü</w:t>
      </w:r>
      <w:r>
        <w:t>lerinnen und Sch</w:t>
      </w:r>
      <w:r>
        <w:t>ü</w:t>
      </w:r>
      <w:r>
        <w:t>ler ber</w:t>
      </w:r>
      <w:r>
        <w:t>ü</w:t>
      </w:r>
      <w:r>
        <w:t xml:space="preserve">cksichtigt, die im vorangegangenen Schuljahr nach </w:t>
      </w:r>
      <w:hyperlink r:id="rId6" w:history="1">
        <w:r>
          <w:t>§ 21 Absatz 2 SchulG</w:t>
        </w:r>
      </w:hyperlink>
      <w:r>
        <w:t xml:space="preserve"> und </w:t>
      </w:r>
      <w:hyperlink r:id="rId7" w:history="1">
        <w:r>
          <w:t xml:space="preserve">§ 47 </w:t>
        </w:r>
      </w:hyperlink>
      <w:r>
        <w:t>AO-SF (BASS 13-41 Nr. 2.1</w:t>
      </w:r>
      <w:r>
        <w:rPr>
          <w:rStyle w:val="mager"/>
        </w:rPr>
        <w:t>), konsolidierte Fassung im Bildungsportal un</w:t>
      </w:r>
      <w:hyperlink r:id="rId8" w:history="1">
        <w:r>
          <w:t>ter http://www.schulministerium.nrw.de/docs/Recht/Schulrecht/APOen/</w:t>
        </w:r>
      </w:hyperlink>
      <w:r>
        <w:t>SF/AO_SF.PDF) die Schule f</w:t>
      </w:r>
      <w:r>
        <w:t>ü</w:t>
      </w:r>
      <w:r>
        <w:t>r Kranke</w:t>
      </w:r>
      <w:r>
        <w:rPr>
          <w:i/>
          <w:iCs/>
        </w:rPr>
        <w:t xml:space="preserve"> (jetzt: Klinikschule)</w:t>
      </w:r>
      <w:r>
        <w:t xml:space="preserve"> besucht haben.</w:t>
      </w:r>
    </w:p>
    <w:p w:rsidR="0080158D" w:rsidRDefault="0080158D">
      <w:pPr>
        <w:pStyle w:val="RVfliesstext175nb"/>
      </w:pPr>
      <w:r>
        <w:t>2 Berechnung der durchschnittlichen Sch</w:t>
      </w:r>
      <w:r>
        <w:t>ü</w:t>
      </w:r>
      <w:r>
        <w:t>lerzahl: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3392"/>
      </w:tblGrid>
      <w:tr w:rsidR="00000000">
        <w:trPr>
          <w:trHeight w:val="510"/>
        </w:trPr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RVtabelle75nl"/>
            </w:pPr>
            <w:r>
              <w:t>Durchschnittliche Sch</w:t>
            </w:r>
            <w:r>
              <w:t>ü</w:t>
            </w:r>
            <w:r>
              <w:t>lerzahl</w:t>
            </w:r>
            <w:r>
              <w:tab/>
              <w:t xml:space="preserve">    =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RVtabelle75nl"/>
            </w:pPr>
            <w:r>
              <w:t>Summe der Unterrichtstage aller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(gem</w:t>
            </w:r>
            <w:r>
              <w:t>äß</w:t>
            </w:r>
            <w:r>
              <w:t xml:space="preserve"> Nummer 3) </w:t>
            </w:r>
            <w:r>
              <w:br/>
            </w:r>
            <w:r>
              <w:rPr>
                <w:rStyle w:val="kursiv"/>
                <w:sz w:val="15"/>
              </w:rPr>
              <w:t>(geteilt durch)</w:t>
            </w:r>
          </w:p>
        </w:tc>
      </w:tr>
      <w:tr w:rsidR="00000000">
        <w:trPr>
          <w:trHeight w:val="160"/>
        </w:trPr>
        <w:tc>
          <w:tcPr>
            <w:tcW w:w="14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ZelleHaupttext"/>
            </w:pPr>
          </w:p>
        </w:tc>
        <w:tc>
          <w:tcPr>
            <w:tcW w:w="3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ZelleHaupttext"/>
            </w:pPr>
          </w:p>
        </w:tc>
      </w:tr>
      <w:tr w:rsidR="00000000">
        <w:trPr>
          <w:trHeight w:val="210"/>
        </w:trPr>
        <w:tc>
          <w:tcPr>
            <w:tcW w:w="14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ZelleHaupttext"/>
            </w:pPr>
          </w:p>
        </w:tc>
        <w:tc>
          <w:tcPr>
            <w:tcW w:w="33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RVtabelle75nl"/>
            </w:pPr>
            <w:r>
              <w:t>maximal erteilbare Unterrichtstage pro Schuljahr</w:t>
            </w:r>
          </w:p>
        </w:tc>
      </w:tr>
      <w:tr w:rsidR="00000000">
        <w:trPr>
          <w:trHeight w:val="160"/>
        </w:trPr>
        <w:tc>
          <w:tcPr>
            <w:tcW w:w="14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ZelleHaupttext"/>
            </w:pPr>
          </w:p>
        </w:tc>
        <w:tc>
          <w:tcPr>
            <w:tcW w:w="339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0158D" w:rsidRDefault="0080158D">
            <w:pPr>
              <w:pStyle w:val="ZelleHaupttext"/>
            </w:pPr>
          </w:p>
        </w:tc>
      </w:tr>
      <w:tr w:rsidR="00000000">
        <w:trPr>
          <w:cantSplit/>
          <w:trHeight w:val="181"/>
        </w:trPr>
        <w:tc>
          <w:tcPr>
            <w:tcW w:w="48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:rsidR="0080158D" w:rsidRDefault="0080158D">
            <w:pPr>
              <w:pStyle w:val="RVtabellenunterschriftanfang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: Formel zur Berechnung der durchschnittlichen Sch</w:t>
            </w:r>
            <w:r>
              <w:t>ü</w:t>
            </w:r>
            <w:r>
              <w:t>lerzahl</w:t>
            </w:r>
          </w:p>
        </w:tc>
      </w:tr>
    </w:tbl>
    <w:p w:rsidR="0080158D" w:rsidRDefault="0080158D">
      <w:pPr>
        <w:pStyle w:val="RVfliesstext175nb"/>
      </w:pPr>
      <w:r>
        <w:t>Die durchschnittliche Sch</w:t>
      </w:r>
      <w:r>
        <w:t>ü</w:t>
      </w:r>
      <w:r>
        <w:t>le</w:t>
      </w:r>
      <w:r>
        <w:t>rzahl muss wegen der unterschiedlichen Relationen Sch</w:t>
      </w:r>
      <w:r>
        <w:t>ü</w:t>
      </w:r>
      <w:r>
        <w:t>ler je Lehrerstelle jeweils getrennt nach der Zahl der Sch</w:t>
      </w:r>
      <w:r>
        <w:t>ü</w:t>
      </w:r>
      <w:r>
        <w:t>lerinnen und Sch</w:t>
      </w:r>
      <w:r>
        <w:t>ü</w:t>
      </w:r>
      <w:r>
        <w:t>ler ohne sowie mit intensivp</w:t>
      </w:r>
      <w:r>
        <w:t>ä</w:t>
      </w:r>
      <w:r>
        <w:t>dagogischer F</w:t>
      </w:r>
      <w:r>
        <w:t>ö</w:t>
      </w:r>
      <w:r>
        <w:t>rderung bei Schwerstbehinderung gem</w:t>
      </w:r>
      <w:r>
        <w:t>äß</w:t>
      </w:r>
      <w:r>
        <w:t xml:space="preserve"> </w:t>
      </w:r>
      <w:hyperlink r:id="rId9" w:history="1">
        <w:r>
          <w:t>§ 15 AO-SF</w:t>
        </w:r>
      </w:hyperlink>
      <w:r>
        <w:t xml:space="preserve"> (BASS 13-41 Nr. 2.1) ermittelt werden.</w:t>
      </w:r>
    </w:p>
    <w:p w:rsidR="0080158D" w:rsidRDefault="0080158D">
      <w:pPr>
        <w:pStyle w:val="RVfliesstext175nb"/>
      </w:pPr>
      <w:r>
        <w:t>3 Die Summe der Unterrichtstage aller Sch</w:t>
      </w:r>
      <w:r>
        <w:t>ü</w:t>
      </w:r>
      <w:r>
        <w:t>lerinnen und Sch</w:t>
      </w:r>
      <w:r>
        <w:t>ü</w:t>
      </w:r>
      <w:r>
        <w:t>ler ist die Summe der Tage mit Unterricht, die je Sch</w:t>
      </w:r>
      <w:r>
        <w:t>ü</w:t>
      </w:r>
      <w:r>
        <w:t>lerin oder Sch</w:t>
      </w:r>
      <w:r>
        <w:t>ü</w:t>
      </w:r>
      <w:r>
        <w:t>ler im Sinne der Nummer 1 an der Schule f</w:t>
      </w:r>
      <w:r>
        <w:t>ü</w:t>
      </w:r>
      <w:r>
        <w:t xml:space="preserve">r Kranke </w:t>
      </w:r>
      <w:r>
        <w:rPr>
          <w:rStyle w:val="kursiv"/>
          <w:sz w:val="15"/>
        </w:rPr>
        <w:t>(jetzt: Klinikschule)</w:t>
      </w:r>
      <w:r>
        <w:t xml:space="preserve"> tats</w:t>
      </w:r>
      <w:r>
        <w:t>ä</w:t>
      </w:r>
      <w:r>
        <w:t>chlich erteilt wurden. Ferientage, gesetzliche Feiertage sowie Samstage und Sonntage gelten nicht als Unterrichtstage. Unterricht gilt auch dann als erteilt, wenn er aus nicht von der Lehrkraft zu vertretenden Gr</w:t>
      </w:r>
      <w:r>
        <w:t>ü</w:t>
      </w:r>
      <w:r>
        <w:t>nden nur teilweise oder gar nicht stattgefunden hat.</w:t>
      </w:r>
    </w:p>
    <w:p w:rsidR="0080158D" w:rsidRDefault="0080158D">
      <w:pPr>
        <w:pStyle w:val="RVfliesstext175nb"/>
      </w:pPr>
      <w:r>
        <w:t>4 Berechnung des Lehrerstellenbedarfs:</w:t>
      </w:r>
    </w:p>
    <w:p w:rsidR="0080158D" w:rsidRDefault="0080158D">
      <w:pPr>
        <w:pStyle w:val="RVfliesstext175nb"/>
      </w:pPr>
      <w:r>
        <w:t>Die ermittelte durchschnittliche Sch</w:t>
      </w:r>
      <w:r>
        <w:t>ü</w:t>
      </w:r>
      <w:r>
        <w:t>lerzahl wird - getrennt nach der Zahl der Sch</w:t>
      </w:r>
      <w:r>
        <w:t>ü</w:t>
      </w:r>
      <w:r>
        <w:t>lerinnen und Sch</w:t>
      </w:r>
      <w:r>
        <w:t>ü</w:t>
      </w:r>
      <w:r>
        <w:t>ler ohne sowie mit intensivp</w:t>
      </w:r>
      <w:r>
        <w:t>ä</w:t>
      </w:r>
      <w:r>
        <w:t>dagogischer F</w:t>
      </w:r>
      <w:r>
        <w:t>ö</w:t>
      </w:r>
      <w:r>
        <w:t>rderung bei Schwerstbehinderung gem</w:t>
      </w:r>
      <w:r>
        <w:t>äß</w:t>
      </w:r>
      <w:r>
        <w:t xml:space="preserve"> </w:t>
      </w:r>
      <w:hyperlink r:id="rId10" w:history="1">
        <w:r>
          <w:t>§ 15 AO-SF</w:t>
        </w:r>
      </w:hyperlink>
      <w:r>
        <w:t xml:space="preserve"> (BASS 13-41 Nr. 2.1) - durch die geltende Relation Sch</w:t>
      </w:r>
      <w:r>
        <w:t>ü</w:t>
      </w:r>
      <w:r>
        <w:t>ler je Lehrerstelle gem</w:t>
      </w:r>
      <w:r>
        <w:t>äß</w:t>
      </w:r>
      <w:r>
        <w:t xml:space="preserve"> </w:t>
      </w:r>
      <w:hyperlink r:id="rId11" w:history="1">
        <w:r>
          <w:t xml:space="preserve">VO zu </w:t>
        </w:r>
      </w:hyperlink>
      <w:r>
        <w:t>§</w:t>
      </w:r>
      <w:r>
        <w:t xml:space="preserve"> 93 Abs. 2 SchulG (BASS 11-11 Nr. 1) dividiert. Die Summe ergibt den rechnerischen Lehrerstellenbedarf.</w:t>
      </w:r>
    </w:p>
    <w:p w:rsidR="0080158D" w:rsidRDefault="0080158D">
      <w:pPr>
        <w:pStyle w:val="RVfliesstext175nb"/>
      </w:pPr>
      <w:bookmarkStart w:id="1" w:name="11-11nr4nr5"/>
      <w:bookmarkEnd w:id="1"/>
      <w:r>
        <w:t>5 Jede Lehrkraft an einer Schule f</w:t>
      </w:r>
      <w:r>
        <w:t>ü</w:t>
      </w:r>
      <w:r>
        <w:t xml:space="preserve">r Kranke </w:t>
      </w:r>
      <w:r>
        <w:rPr>
          <w:rStyle w:val="kursiv"/>
          <w:sz w:val="15"/>
        </w:rPr>
        <w:t>(jetzt: Klinikschule)</w:t>
      </w:r>
      <w:r>
        <w:t xml:space="preserve"> dokumentiert den erteilten Unterricht auf einem Formblatt. Sie erfasst t</w:t>
      </w:r>
      <w:r>
        <w:t>ä</w:t>
      </w:r>
      <w:r>
        <w:t>glich die Namen der unterrichteten Sch</w:t>
      </w:r>
      <w:r>
        <w:t>ü</w:t>
      </w:r>
      <w:r>
        <w:t>lerinnen und Sch</w:t>
      </w:r>
      <w:r>
        <w:t>ü</w:t>
      </w:r>
      <w:r>
        <w:t>ler sowie den Zeitraum des Unterrichts oder den nicht durch die Lehrkraft zu vertretenden Ausfall im Sinne der Nummer 3 Satz 2. Die Formbl</w:t>
      </w:r>
      <w:r>
        <w:t>ä</w:t>
      </w:r>
      <w:r>
        <w:t>tter sind monatlich der Schulleitung vorzulegen und von ihr zu best</w:t>
      </w:r>
      <w:r>
        <w:t>ä</w:t>
      </w:r>
      <w:r>
        <w:t>tigen.</w:t>
      </w:r>
    </w:p>
    <w:p w:rsidR="0080158D" w:rsidRDefault="0080158D">
      <w:pPr>
        <w:pStyle w:val="RVfliesstext175nb"/>
      </w:pPr>
      <w:r>
        <w:t>6 Alle Unterlagen, die f</w:t>
      </w:r>
      <w:r>
        <w:t>ü</w:t>
      </w:r>
      <w:r>
        <w:t>r die Berechnung der durchschnittlichen Sch</w:t>
      </w:r>
      <w:r>
        <w:t>ü</w:t>
      </w:r>
      <w:r>
        <w:t>lerzahl sowie der Lehrerstellen notwendig sind, sind von der Schule f</w:t>
      </w:r>
      <w:r>
        <w:t>ü</w:t>
      </w:r>
      <w:r>
        <w:t xml:space="preserve">r Kranke </w:t>
      </w:r>
      <w:r>
        <w:rPr>
          <w:rStyle w:val="kursiv"/>
          <w:sz w:val="15"/>
        </w:rPr>
        <w:t>(jetzt: Klinikschule)</w:t>
      </w:r>
      <w:r>
        <w:t xml:space="preserve"> f</w:t>
      </w:r>
      <w:r>
        <w:t>ü</w:t>
      </w:r>
      <w:r>
        <w:t>nf Jahre aufzubewahren.</w:t>
      </w:r>
    </w:p>
    <w:p w:rsidR="0080158D" w:rsidRDefault="0080158D">
      <w:pPr>
        <w:pStyle w:val="RVfliesstext175nb"/>
      </w:pPr>
    </w:p>
    <w:sectPr w:rsidR="00000000">
      <w:footerReference w:type="default" r:id="rId12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158D" w:rsidRDefault="0080158D">
      <w:r>
        <w:separator/>
      </w:r>
    </w:p>
  </w:endnote>
  <w:endnote w:type="continuationSeparator" w:id="0">
    <w:p w:rsidR="0080158D" w:rsidRDefault="0080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158D" w:rsidRDefault="00801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158D" w:rsidRDefault="0080158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80158D" w:rsidRDefault="00801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5903"/>
    <w:rsid w:val="0080158D"/>
    <w:rsid w:val="00A0590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ministerium.nrw.de/docs/Recht/Schulrecht/APOen/SF/AO_SF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225.htm#13-41nr2.1p4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21(2)p47" TargetMode="External"/><Relationship Id="rId11" Type="http://schemas.openxmlformats.org/officeDocument/2006/relationships/hyperlink" Target="https://bass.schul-welt.de/6218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ss.schul-welt.de/6225.htm#13-41nr2.1p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225.htm#13-41nr2.1p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