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ACCCE" w14:textId="77777777" w:rsidR="006B38EC" w:rsidRDefault="006B38EC">
      <w:pPr>
        <w:pStyle w:val="Fliedftext"/>
        <w:spacing w:before="10" w:after="10" w:line="40" w:lineRule="exact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70B5D7C2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392FE516" w14:textId="77777777" w:rsidR="006B38EC" w:rsidRDefault="006B38EC">
            <w:pPr>
              <w:pStyle w:val="Hinweistext"/>
              <w:rPr>
                <w:rFonts w:cs="Arial"/>
              </w:rPr>
            </w:pPr>
            <w:r>
              <w:rPr>
                <w:b/>
                <w:i w:val="0"/>
              </w:rPr>
              <w:t>Schule f</w:t>
            </w:r>
            <w:r>
              <w:rPr>
                <w:b/>
                <w:i w:val="0"/>
              </w:rPr>
              <w:t>ü</w:t>
            </w:r>
            <w:r>
              <w:rPr>
                <w:b/>
                <w:i w:val="0"/>
              </w:rPr>
              <w:t xml:space="preserve">r Kranke </w:t>
            </w:r>
            <w:r>
              <w:rPr>
                <w:b/>
                <w:i w:val="0"/>
              </w:rPr>
              <w:t>–</w:t>
            </w:r>
            <w:r>
              <w:rPr>
                <w:b/>
                <w:i w:val="0"/>
              </w:rPr>
              <w:t xml:space="preserve"> neue VV</w:t>
            </w:r>
          </w:p>
          <w:p w14:paraId="7D744632" w14:textId="77777777" w:rsidR="006B38EC" w:rsidRDefault="006B38EC">
            <w:pPr>
              <w:pStyle w:val="Hinweistext"/>
              <w:rPr>
                <w:rFonts w:cs="Arial"/>
              </w:rPr>
            </w:pPr>
            <w:r>
              <w:rPr>
                <w:i w:val="0"/>
                <w:w w:val="98"/>
              </w:rPr>
              <w:t>(siehe hierzu die Erl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 xml:space="preserve">uterung zum Erlass </w:t>
            </w:r>
            <w:r>
              <w:rPr>
                <w:i w:val="0"/>
                <w:w w:val="98"/>
              </w:rPr>
              <w:t>„</w:t>
            </w:r>
            <w:r>
              <w:rPr>
                <w:i w:val="0"/>
                <w:w w:val="98"/>
              </w:rPr>
              <w:t>Schule f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r Kranke - Ermittlung der Sch</w:t>
            </w:r>
            <w:r>
              <w:rPr>
                <w:i w:val="0"/>
                <w:w w:val="98"/>
              </w:rPr>
              <w:t>ü</w:t>
            </w:r>
            <w:r>
              <w:rPr>
                <w:i w:val="0"/>
                <w:w w:val="98"/>
              </w:rPr>
              <w:t>lerzahlen zur Berechnung der Lehrerstellen</w:t>
            </w:r>
            <w:r>
              <w:rPr>
                <w:i w:val="0"/>
                <w:w w:val="98"/>
              </w:rPr>
              <w:t>“</w:t>
            </w:r>
            <w:r>
              <w:rPr>
                <w:i w:val="0"/>
                <w:w w:val="98"/>
              </w:rPr>
              <w:t xml:space="preserve"> (BASS 11 </w:t>
            </w:r>
            <w:r>
              <w:rPr>
                <w:i w:val="0"/>
                <w:w w:val="98"/>
              </w:rPr>
              <w:t>–</w:t>
            </w:r>
            <w:r>
              <w:rPr>
                <w:i w:val="0"/>
                <w:w w:val="98"/>
              </w:rPr>
              <w:t xml:space="preserve"> 11 Nr. 4, Seite 71 in diesem Heft)</w:t>
            </w:r>
          </w:p>
        </w:tc>
      </w:tr>
    </w:tbl>
    <w:p w14:paraId="0B232763" w14:textId="77777777" w:rsidR="006B38EC" w:rsidRDefault="006B38EC">
      <w:pPr>
        <w:pStyle w:val="BASS-Nr-ABl"/>
        <w:widowControl/>
      </w:pPr>
      <w:bookmarkStart w:id="0" w:name="ABl0214_13-41nr2.2"/>
      <w:bookmarkEnd w:id="0"/>
      <w:r>
        <w:t xml:space="preserve">Zu BASS </w:t>
      </w:r>
      <w:hyperlink w:anchor="6225.fm:13-41nr2.1" w:history="1">
        <w:r>
          <w:rPr>
            <w:rStyle w:val="Hyperlink"/>
            <w:rFonts w:ascii="Arial" w:hAnsi="Arial"/>
            <w:sz w:val="18"/>
          </w:rPr>
          <w:t>6225.fm:13-41nr2.1</w:t>
        </w:r>
      </w:hyperlink>
      <w:r>
        <w:rPr>
          <w:rFonts w:cs="Arial"/>
        </w:rPr>
        <w:t xml:space="preserve">13 </w:t>
      </w:r>
      <w:r>
        <w:rPr>
          <w:rFonts w:cs="Arial"/>
        </w:rPr>
        <w:t>–</w:t>
      </w:r>
      <w:r>
        <w:rPr>
          <w:rFonts w:cs="Arial"/>
        </w:rPr>
        <w:t xml:space="preserve"> 41 Nr. 2.2</w:t>
      </w:r>
    </w:p>
    <w:p w14:paraId="5EAAC8D2" w14:textId="77777777" w:rsidR="006B38EC" w:rsidRDefault="006B38EC">
      <w:pPr>
        <w:pStyle w:val="Bass-dcber"/>
        <w:widowControl/>
        <w:rPr>
          <w:rFonts w:cs="Calibri"/>
        </w:rPr>
      </w:pPr>
      <w:r>
        <w:t>Schule f</w:t>
      </w:r>
      <w:r>
        <w:t>ü</w:t>
      </w:r>
      <w:r>
        <w:t xml:space="preserve">r Kranke </w:t>
      </w:r>
      <w:r>
        <w:t>–</w:t>
      </w:r>
    </w:p>
    <w:p w14:paraId="58E7018B" w14:textId="77777777" w:rsidR="006B38EC" w:rsidRDefault="006B38EC">
      <w:pPr>
        <w:pStyle w:val="Bass-dcber"/>
        <w:widowControl/>
        <w:rPr>
          <w:rFonts w:cs="Calibri"/>
        </w:rPr>
      </w:pPr>
      <w:r>
        <w:t>Verwaltungsvorschriften</w:t>
      </w:r>
    </w:p>
    <w:p w14:paraId="313328DC" w14:textId="77777777" w:rsidR="006B38EC" w:rsidRDefault="006B38EC">
      <w:pPr>
        <w:pStyle w:val="Bass-dcber"/>
        <w:widowControl/>
        <w:rPr>
          <w:rFonts w:cs="Calibri"/>
        </w:rPr>
      </w:pPr>
      <w:r>
        <w:t xml:space="preserve">zu </w:t>
      </w:r>
      <w:r>
        <w:t>§</w:t>
      </w:r>
      <w:r>
        <w:t xml:space="preserve"> 47 der</w:t>
      </w:r>
    </w:p>
    <w:p w14:paraId="12B340F6" w14:textId="77777777" w:rsidR="006B38EC" w:rsidRDefault="006B38EC">
      <w:pPr>
        <w:pStyle w:val="Bass-dcber"/>
        <w:widowControl/>
        <w:rPr>
          <w:rFonts w:cs="Calibri"/>
        </w:rPr>
      </w:pPr>
      <w:r>
        <w:t>Ausbildungsordnung sonderp</w:t>
      </w:r>
      <w:r>
        <w:t>ä</w:t>
      </w:r>
      <w:r>
        <w:t>dagogische F</w:t>
      </w:r>
      <w:r>
        <w:t>ö</w:t>
      </w:r>
      <w:r>
        <w:t>rderung (AO-SF)</w:t>
      </w:r>
    </w:p>
    <w:p w14:paraId="01CFEA53" w14:textId="77777777" w:rsidR="006B38EC" w:rsidRDefault="006B38EC">
      <w:pPr>
        <w:pStyle w:val="Fliedftext"/>
        <w:jc w:val="center"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 xml:space="preserve">v. 27. 12. 2014 </w:t>
      </w:r>
      <w:r>
        <w:rPr>
          <w:rFonts w:cs="Arial"/>
        </w:rPr>
        <w:t>–</w:t>
      </w:r>
      <w:r>
        <w:rPr>
          <w:rFonts w:cs="Arial"/>
        </w:rPr>
        <w:t xml:space="preserve"> 221-2.02.02.02-123489/14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229"/>
      </w:tblGrid>
      <w:tr w:rsidR="00000000" w14:paraId="5DC7ABC3" w14:textId="77777777">
        <w:tc>
          <w:tcPr>
            <w:tcW w:w="6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05D142C" w14:textId="77777777" w:rsidR="006B38EC" w:rsidRDefault="006B38EC">
            <w:pPr>
              <w:pStyle w:val="Fliedftext"/>
            </w:pPr>
            <w:r>
              <w:rPr>
                <w:rFonts w:cs="Arial"/>
              </w:rPr>
              <w:t xml:space="preserve">Bezug: </w:t>
            </w:r>
          </w:p>
        </w:tc>
        <w:tc>
          <w:tcPr>
            <w:tcW w:w="4222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DDBA14C" w14:textId="77777777" w:rsidR="006B38EC" w:rsidRDefault="006B38EC">
            <w:pPr>
              <w:pStyle w:val="Fliedftext"/>
              <w:rPr>
                <w:rFonts w:cs="Arial"/>
              </w:rPr>
            </w:pPr>
            <w:r>
              <w:rPr>
                <w:rFonts w:cs="Arial"/>
              </w:rPr>
              <w:t xml:space="preserve">AO-SF vom 29. April 2005 (BASS 13 </w:t>
            </w:r>
            <w:r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41 Nr. 2.1), zuletzt ge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ndert durch VO vom 29. September 2014 (ABl. NRW. 11/14 S. 541</w:t>
            </w:r>
            <w:r>
              <w:rPr>
                <w:rStyle w:val="mager"/>
              </w:rPr>
              <w:t>), konsolidierte Fassung im Bildungsportal unter http://www.schulministerium.nrw.de/docs/Recht/Schulrecht/APOen/SF/AO_SF.pdf</w:t>
            </w:r>
          </w:p>
        </w:tc>
      </w:tr>
    </w:tbl>
    <w:p w14:paraId="501538CC" w14:textId="77777777" w:rsidR="006B38EC" w:rsidRDefault="006B38EC">
      <w:pPr>
        <w:pStyle w:val="Zwischenfcber01"/>
        <w:keepNext/>
        <w:widowControl/>
      </w:pPr>
      <w:r>
        <w:rPr>
          <w:rFonts w:cs="Calibri"/>
        </w:rPr>
        <w:t xml:space="preserve">VV zu </w:t>
      </w:r>
      <w:r>
        <w:rPr>
          <w:rFonts w:cs="Calibri"/>
        </w:rPr>
        <w:t>§</w:t>
      </w:r>
      <w:r>
        <w:rPr>
          <w:rFonts w:cs="Calibri"/>
        </w:rPr>
        <w:t xml:space="preserve"> 47</w:t>
      </w:r>
    </w:p>
    <w:p w14:paraId="5930C598" w14:textId="77777777" w:rsidR="006B38EC" w:rsidRDefault="006B38EC">
      <w:pPr>
        <w:pStyle w:val="Zwischenfcber01"/>
        <w:keepNext/>
        <w:widowControl/>
      </w:pPr>
      <w:r>
        <w:rPr>
          <w:rStyle w:val="mager"/>
          <w:rFonts w:cs="Calibri"/>
          <w:b w:val="0"/>
        </w:rPr>
        <w:t>47.1 zu Abs. 1</w:t>
      </w:r>
    </w:p>
    <w:p w14:paraId="3F19501B" w14:textId="77777777" w:rsidR="006B38EC" w:rsidRDefault="006B38EC">
      <w:pPr>
        <w:pStyle w:val="Haupttext123E09"/>
        <w:rPr>
          <w:rFonts w:cs="Arial"/>
        </w:rPr>
      </w:pPr>
      <w:r>
        <w:t>47.11</w:t>
      </w:r>
      <w:r>
        <w:tab/>
        <w:t>Voraussetzungen f</w:t>
      </w:r>
      <w:r>
        <w:t>ü</w:t>
      </w:r>
      <w:r>
        <w:t>r die Aufnahme in die Schule f</w:t>
      </w:r>
      <w:r>
        <w:t>ü</w:t>
      </w:r>
      <w:r>
        <w:t xml:space="preserve">r Kranke sind </w:t>
      </w:r>
    </w:p>
    <w:p w14:paraId="4922E743" w14:textId="77777777" w:rsidR="006B38EC" w:rsidRDefault="006B38EC">
      <w:pPr>
        <w:pStyle w:val="Haupttext1EinzugabcE13"/>
      </w:pPr>
      <w:r>
        <w:rPr>
          <w:rFonts w:cs="Calibri"/>
        </w:rPr>
        <w:t>1.</w:t>
      </w:r>
      <w:r>
        <w:rPr>
          <w:rFonts w:cs="Calibri"/>
        </w:rPr>
        <w:tab/>
        <w:t>dass die Sch</w:t>
      </w:r>
      <w:r>
        <w:rPr>
          <w:rFonts w:cs="Calibri"/>
        </w:rPr>
        <w:t>ü</w:t>
      </w:r>
      <w:r>
        <w:rPr>
          <w:rFonts w:cs="Calibri"/>
        </w:rPr>
        <w:t>lerin oder der Sch</w:t>
      </w:r>
      <w:r>
        <w:rPr>
          <w:rFonts w:cs="Calibri"/>
        </w:rPr>
        <w:t>ü</w:t>
      </w:r>
      <w:r>
        <w:rPr>
          <w:rFonts w:cs="Calibri"/>
        </w:rPr>
        <w:t>ler bis dahin in einem Schulverh</w:t>
      </w:r>
      <w:r>
        <w:rPr>
          <w:rFonts w:cs="Calibri"/>
        </w:rPr>
        <w:t>ä</w:t>
      </w:r>
      <w:r>
        <w:rPr>
          <w:rFonts w:cs="Calibri"/>
        </w:rPr>
        <w:t xml:space="preserve">ltnis steht und </w:t>
      </w:r>
    </w:p>
    <w:p w14:paraId="5B0ECBCE" w14:textId="77777777" w:rsidR="006B38EC" w:rsidRDefault="006B38EC">
      <w:pPr>
        <w:pStyle w:val="Haupttext1EinzugabcE13"/>
      </w:pPr>
      <w:r>
        <w:rPr>
          <w:rFonts w:cs="Calibri"/>
        </w:rPr>
        <w:t>2.</w:t>
      </w:r>
      <w:r>
        <w:rPr>
          <w:rFonts w:cs="Calibri"/>
        </w:rPr>
        <w:tab/>
        <w:t>die schriftliche Best</w:t>
      </w:r>
      <w:r>
        <w:rPr>
          <w:rFonts w:cs="Calibri"/>
        </w:rPr>
        <w:t>ä</w:t>
      </w:r>
      <w:r>
        <w:rPr>
          <w:rFonts w:cs="Calibri"/>
        </w:rPr>
        <w:t xml:space="preserve">tigung der </w:t>
      </w:r>
      <w:r>
        <w:rPr>
          <w:rFonts w:cs="Calibri"/>
        </w:rPr>
        <w:t>Ä</w:t>
      </w:r>
      <w:r>
        <w:rPr>
          <w:rFonts w:cs="Calibri"/>
        </w:rPr>
        <w:t xml:space="preserve">rztin oder des Arztes des Krankenhauses oder der vergleichbaren medizinisch-therapeutischen Einrichtung </w:t>
      </w:r>
      <w:r>
        <w:rPr>
          <w:rFonts w:cs="Calibri"/>
        </w:rPr>
        <w:t>ü</w:t>
      </w:r>
      <w:r>
        <w:rPr>
          <w:rFonts w:cs="Calibri"/>
        </w:rPr>
        <w:t>ber den Beginn und die ebenfalls schriftliche Prognose der voraussichtlichen Dauer des Aufenthalts.</w:t>
      </w:r>
    </w:p>
    <w:p w14:paraId="61AD8F33" w14:textId="77777777" w:rsidR="006B38EC" w:rsidRDefault="006B38EC">
      <w:pPr>
        <w:pStyle w:val="Haupttext123E09"/>
        <w:rPr>
          <w:rFonts w:cs="Arial"/>
        </w:rPr>
      </w:pPr>
      <w:r>
        <w:t>47.12</w:t>
      </w:r>
      <w:r>
        <w:tab/>
        <w:t xml:space="preserve">Die </w:t>
      </w:r>
      <w:r>
        <w:t>Ä</w:t>
      </w:r>
      <w:r>
        <w:t>rztin oder der Arzt best</w:t>
      </w:r>
      <w:r>
        <w:t>ä</w:t>
      </w:r>
      <w:r>
        <w:t>tigt den Beginn, eine Unterbrechung und das Ende der station</w:t>
      </w:r>
      <w:r>
        <w:t>ä</w:t>
      </w:r>
      <w:r>
        <w:t>ren Behandlung; die Schule dokumentiert dies.</w:t>
      </w:r>
    </w:p>
    <w:p w14:paraId="5A5B90E9" w14:textId="77777777" w:rsidR="006B38EC" w:rsidRDefault="006B38EC">
      <w:pPr>
        <w:pStyle w:val="Haupttext123E09"/>
        <w:rPr>
          <w:rFonts w:cs="Arial"/>
        </w:rPr>
      </w:pPr>
      <w:r>
        <w:t>47.13</w:t>
      </w:r>
      <w:r>
        <w:tab/>
        <w:t>F</w:t>
      </w:r>
      <w:r>
        <w:t>ü</w:t>
      </w:r>
      <w:r>
        <w:t>r den prognostizierten Zeitraum von mindestens vier Wochen als Voraussetzung f</w:t>
      </w:r>
      <w:r>
        <w:t>ü</w:t>
      </w:r>
      <w:r>
        <w:t>r die Aufnahme in die Schule f</w:t>
      </w:r>
      <w:r>
        <w:t>ü</w:t>
      </w:r>
      <w:r>
        <w:t>r Kranke gilt:</w:t>
      </w:r>
    </w:p>
    <w:p w14:paraId="05D31E61" w14:textId="77777777" w:rsidR="006B38EC" w:rsidRDefault="006B38EC">
      <w:pPr>
        <w:pStyle w:val="Haupttext1EinzugabcE13"/>
      </w:pPr>
      <w:r>
        <w:rPr>
          <w:rFonts w:cs="Calibri"/>
        </w:rPr>
        <w:t>1.</w:t>
      </w:r>
      <w:r>
        <w:rPr>
          <w:rFonts w:cs="Calibri"/>
        </w:rPr>
        <w:tab/>
        <w:t>Wird der prognostizierte Zeitraum von vier Wochen nicht erreicht, aber entweder in der ersten oder in der letzten Woche Unterricht an mindestens drei Tagen erteilt, wird die gesamte Woche ber</w:t>
      </w:r>
      <w:r>
        <w:rPr>
          <w:rFonts w:cs="Calibri"/>
        </w:rPr>
        <w:t>ü</w:t>
      </w:r>
      <w:r>
        <w:rPr>
          <w:rFonts w:cs="Calibri"/>
        </w:rPr>
        <w:t>cksichtigt.</w:t>
      </w:r>
    </w:p>
    <w:p w14:paraId="0F4119A7" w14:textId="77777777" w:rsidR="006B38EC" w:rsidRDefault="006B38EC">
      <w:pPr>
        <w:pStyle w:val="Haupttext1EinzugabcE13"/>
      </w:pPr>
      <w:r>
        <w:rPr>
          <w:rFonts w:cs="Calibri"/>
        </w:rPr>
        <w:t>2.</w:t>
      </w:r>
      <w:r>
        <w:rPr>
          <w:rFonts w:cs="Calibri"/>
        </w:rPr>
        <w:tab/>
        <w:t>Auch wenn gesetzliche Feiertage in die Zeit des Unterrichts fallen, wird die gesamte Woche ber</w:t>
      </w:r>
      <w:r>
        <w:rPr>
          <w:rFonts w:cs="Calibri"/>
        </w:rPr>
        <w:t>ü</w:t>
      </w:r>
      <w:r>
        <w:rPr>
          <w:rFonts w:cs="Calibri"/>
        </w:rPr>
        <w:t>cksichtigt.</w:t>
      </w:r>
    </w:p>
    <w:p w14:paraId="4F81C7CD" w14:textId="77777777" w:rsidR="006B38EC" w:rsidRDefault="006B38EC">
      <w:pPr>
        <w:pStyle w:val="Haupttext1EinzugabcE13"/>
      </w:pPr>
      <w:r>
        <w:rPr>
          <w:rFonts w:cs="Calibri"/>
        </w:rPr>
        <w:t>3.</w:t>
      </w:r>
      <w:r>
        <w:rPr>
          <w:rFonts w:cs="Calibri"/>
        </w:rPr>
        <w:tab/>
        <w:t>Wird eine Sch</w:t>
      </w:r>
      <w:r>
        <w:rPr>
          <w:rFonts w:cs="Calibri"/>
        </w:rPr>
        <w:t>ü</w:t>
      </w:r>
      <w:r>
        <w:rPr>
          <w:rFonts w:cs="Calibri"/>
        </w:rPr>
        <w:t>lerin oder ein Sch</w:t>
      </w:r>
      <w:r>
        <w:rPr>
          <w:rFonts w:cs="Calibri"/>
        </w:rPr>
        <w:t>ü</w:t>
      </w:r>
      <w:r>
        <w:rPr>
          <w:rFonts w:cs="Calibri"/>
        </w:rPr>
        <w:t>ler langfristig und regelm</w:t>
      </w:r>
      <w:r>
        <w:rPr>
          <w:rFonts w:cs="Calibri"/>
        </w:rPr>
        <w:t>äß</w:t>
      </w:r>
      <w:r>
        <w:rPr>
          <w:rFonts w:cs="Calibri"/>
        </w:rPr>
        <w:t>ig bei langer Krankheit station</w:t>
      </w:r>
      <w:r>
        <w:rPr>
          <w:rFonts w:cs="Calibri"/>
        </w:rPr>
        <w:t>ä</w:t>
      </w:r>
      <w:r>
        <w:rPr>
          <w:rFonts w:cs="Calibri"/>
        </w:rPr>
        <w:t>r behandelt, k</w:t>
      </w:r>
      <w:r>
        <w:rPr>
          <w:rFonts w:cs="Calibri"/>
        </w:rPr>
        <w:t>ö</w:t>
      </w:r>
      <w:r>
        <w:rPr>
          <w:rFonts w:cs="Calibri"/>
        </w:rPr>
        <w:t>nnen die Aufenthaltszeiten innerhalb eines Schuljahres addiert werden.</w:t>
      </w:r>
    </w:p>
    <w:p w14:paraId="40DADCCA" w14:textId="77777777" w:rsidR="006B38EC" w:rsidRDefault="006B38EC">
      <w:pPr>
        <w:pStyle w:val="Haupttext123E09"/>
        <w:rPr>
          <w:rFonts w:cs="Arial"/>
        </w:rPr>
      </w:pPr>
      <w:r>
        <w:t>47.14</w:t>
      </w:r>
      <w:r>
        <w:tab/>
        <w:t>Wird der station</w:t>
      </w:r>
      <w:r>
        <w:t>ä</w:t>
      </w:r>
      <w:r>
        <w:t>re Aufenthalt vor</w:t>
      </w:r>
      <w:r>
        <w:t>ü</w:t>
      </w:r>
      <w:r>
        <w:t>bergehend unterbrochen, bleibt das Schulverh</w:t>
      </w:r>
      <w:r>
        <w:t>ä</w:t>
      </w:r>
      <w:r>
        <w:t>ltnis zur Schule f</w:t>
      </w:r>
      <w:r>
        <w:t>ü</w:t>
      </w:r>
      <w:r>
        <w:t>r Kranke bestehen, solange diese der Sch</w:t>
      </w:r>
      <w:r>
        <w:t>ü</w:t>
      </w:r>
      <w:r>
        <w:t>lerin oder dem Sch</w:t>
      </w:r>
      <w:r>
        <w:t>ü</w:t>
      </w:r>
      <w:r>
        <w:t>ler Unterricht erteilt.</w:t>
      </w:r>
    </w:p>
    <w:p w14:paraId="2754F8A4" w14:textId="77777777" w:rsidR="006B38EC" w:rsidRDefault="006B38EC">
      <w:pPr>
        <w:pStyle w:val="Haupttext123E09"/>
        <w:rPr>
          <w:rFonts w:cs="Arial"/>
        </w:rPr>
      </w:pPr>
      <w:r>
        <w:t>47.15</w:t>
      </w:r>
      <w:r>
        <w:tab/>
        <w:t>W</w:t>
      </w:r>
      <w:r>
        <w:t>ä</w:t>
      </w:r>
      <w:r>
        <w:t>hrend einer Nachbehandlung, die sich an den station</w:t>
      </w:r>
      <w:r>
        <w:t>ä</w:t>
      </w:r>
      <w:r>
        <w:t>ren Aufenthalt anschlie</w:t>
      </w:r>
      <w:r>
        <w:t>ß</w:t>
      </w:r>
      <w:r>
        <w:t>t, kann die Schule f</w:t>
      </w:r>
      <w:r>
        <w:t>ü</w:t>
      </w:r>
      <w:r>
        <w:t>r Kranke die Sch</w:t>
      </w:r>
      <w:r>
        <w:t>ü</w:t>
      </w:r>
      <w:r>
        <w:t>lerin oder den Sch</w:t>
      </w:r>
      <w:r>
        <w:t>ü</w:t>
      </w:r>
      <w:r>
        <w:t>ler mit Zustimmung der Schulaufsichtsbeh</w:t>
      </w:r>
      <w:r>
        <w:t>ö</w:t>
      </w:r>
      <w:r>
        <w:t>rde weiterhin unterrichten und das Schulverh</w:t>
      </w:r>
      <w:r>
        <w:t>ä</w:t>
      </w:r>
      <w:r>
        <w:t>ltnis bleibt bestehen, solange sie oder er keine andere Schule besucht oder am Hausunterricht teilnimmt.</w:t>
      </w:r>
    </w:p>
    <w:p w14:paraId="01D37B75" w14:textId="77777777" w:rsidR="006B38EC" w:rsidRDefault="006B38EC">
      <w:pPr>
        <w:pStyle w:val="AnkerAbsatzundAbstand2Punkt"/>
        <w:widowControl/>
      </w:pPr>
    </w:p>
    <w:p w14:paraId="2933DCBF" w14:textId="77777777" w:rsidR="006B38EC" w:rsidRDefault="006B38EC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>47.2 zu Abs. 2</w:t>
      </w:r>
    </w:p>
    <w:p w14:paraId="45A8496E" w14:textId="77777777" w:rsidR="006B38EC" w:rsidRDefault="006B38EC">
      <w:pPr>
        <w:pStyle w:val="Fliedftext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 xml:space="preserve">r die Dokumentation des erteilten Unterrichts gelten </w:t>
      </w:r>
      <w:r>
        <w:rPr>
          <w:rFonts w:cs="Arial"/>
        </w:rPr>
        <w:t>§</w:t>
      </w:r>
      <w:r>
        <w:rPr>
          <w:rFonts w:cs="Arial"/>
        </w:rPr>
        <w:t xml:space="preserve"> 10 Absatz 1 ADO (BASS 21 </w:t>
      </w:r>
      <w:r>
        <w:rPr>
          <w:rFonts w:cs="Arial"/>
        </w:rPr>
        <w:t>–</w:t>
      </w:r>
      <w:r>
        <w:rPr>
          <w:rFonts w:cs="Arial"/>
        </w:rPr>
        <w:t xml:space="preserve"> 02 Nr. 4) und Nummer 5 des Runderlasses zur Ermittlung des Lehrerstellenbedarfs in der Schule f</w:t>
      </w:r>
      <w:r>
        <w:rPr>
          <w:rFonts w:cs="Arial"/>
        </w:rPr>
        <w:t>ü</w:t>
      </w:r>
      <w:r>
        <w:rPr>
          <w:rFonts w:cs="Arial"/>
        </w:rPr>
        <w:t xml:space="preserve">r Kranke (v. 27.01.2014 </w:t>
      </w:r>
      <w:r>
        <w:rPr>
          <w:rFonts w:cs="Arial"/>
        </w:rPr>
        <w:t>–</w:t>
      </w:r>
      <w:r>
        <w:rPr>
          <w:rFonts w:cs="Arial"/>
        </w:rPr>
        <w:t xml:space="preserve"> BASS 11 </w:t>
      </w:r>
      <w:r>
        <w:rPr>
          <w:rFonts w:cs="Arial"/>
        </w:rPr>
        <w:t>–</w:t>
      </w:r>
      <w:r>
        <w:rPr>
          <w:rFonts w:cs="Arial"/>
        </w:rPr>
        <w:t xml:space="preserve"> 11 Nr. 4).</w:t>
      </w:r>
    </w:p>
    <w:p w14:paraId="6415DAB9" w14:textId="77777777" w:rsidR="006B38EC" w:rsidRDefault="006B38EC">
      <w:pPr>
        <w:pStyle w:val="AnkerAbsatzundAbstand2Punkt"/>
        <w:widowControl/>
        <w:rPr>
          <w:rFonts w:cs="Arial"/>
        </w:rPr>
      </w:pPr>
    </w:p>
    <w:p w14:paraId="3574DC46" w14:textId="77777777" w:rsidR="006B38EC" w:rsidRDefault="006B38EC">
      <w:pPr>
        <w:pStyle w:val="Zwischenfcber01"/>
        <w:keepNext/>
        <w:widowControl/>
      </w:pPr>
      <w:r>
        <w:rPr>
          <w:rStyle w:val="mager"/>
          <w:rFonts w:cs="Calibri"/>
          <w:b w:val="0"/>
        </w:rPr>
        <w:t>47.3 zu Abs. 3</w:t>
      </w:r>
    </w:p>
    <w:p w14:paraId="5F3346F0" w14:textId="77777777" w:rsidR="006B38EC" w:rsidRDefault="006B38EC">
      <w:pPr>
        <w:pStyle w:val="Fliedftext"/>
        <w:rPr>
          <w:rFonts w:cs="Arial"/>
        </w:rPr>
      </w:pPr>
      <w:r>
        <w:t>Die Entscheidung der Schulaufsichtsbeh</w:t>
      </w:r>
      <w:r>
        <w:t>ö</w:t>
      </w:r>
      <w:r>
        <w:t xml:space="preserve">rde </w:t>
      </w:r>
      <w:r>
        <w:t>ü</w:t>
      </w:r>
      <w:r>
        <w:t>ber den Bedarf an intensivp</w:t>
      </w:r>
      <w:r>
        <w:t>ä</w:t>
      </w:r>
      <w:r>
        <w:t>dagogischer F</w:t>
      </w:r>
      <w:r>
        <w:t>ö</w:t>
      </w:r>
      <w:r>
        <w:t>rderung gem</w:t>
      </w:r>
      <w:r>
        <w:t>äß</w:t>
      </w:r>
      <w:r>
        <w:t xml:space="preserve"> </w:t>
      </w:r>
      <w:r>
        <w:t>§</w:t>
      </w:r>
      <w:r>
        <w:t xml:space="preserve"> 15 ist auf die Dauer des Besuchs der Schule f</w:t>
      </w:r>
      <w:r>
        <w:t>ü</w:t>
      </w:r>
      <w:r>
        <w:t>r Kranke begrenzt. Sie wird in das Sch</w:t>
      </w:r>
      <w:r>
        <w:t>ü</w:t>
      </w:r>
      <w:r>
        <w:t>lerstammblatt aufgenommen.</w:t>
      </w:r>
    </w:p>
    <w:p w14:paraId="4D355967" w14:textId="77777777" w:rsidR="006B38EC" w:rsidRDefault="006B38EC">
      <w:pPr>
        <w:pStyle w:val="AnkerAbsatzundAbstand2Punkt"/>
        <w:widowControl/>
      </w:pPr>
    </w:p>
    <w:p w14:paraId="12B393B2" w14:textId="77777777" w:rsidR="006B38EC" w:rsidRDefault="006B38EC">
      <w:pPr>
        <w:pStyle w:val="Fliedftext"/>
      </w:pPr>
      <w:r>
        <w:rPr>
          <w:rFonts w:cs="Arial"/>
        </w:rPr>
        <w:t xml:space="preserve">Die </w:t>
      </w:r>
      <w:r>
        <w:rPr>
          <w:rFonts w:cs="Arial"/>
        </w:rPr>
        <w:t>Ä</w:t>
      </w:r>
      <w:r>
        <w:rPr>
          <w:rFonts w:cs="Arial"/>
        </w:rPr>
        <w:t>nderungen treten am 1. Februar 2015 in Kraft.</w:t>
      </w:r>
    </w:p>
    <w:p w14:paraId="0E35CDE3" w14:textId="77777777" w:rsidR="006B38EC" w:rsidRDefault="006B38EC">
      <w:pPr>
        <w:pStyle w:val="Fliedftext"/>
        <w:rPr>
          <w:rFonts w:cs="Arial"/>
        </w:rPr>
      </w:pPr>
    </w:p>
    <w:p w14:paraId="4128361C" w14:textId="77777777" w:rsidR="006B38EC" w:rsidRDefault="006B38EC">
      <w:pPr>
        <w:pStyle w:val="Fliedftext"/>
        <w:jc w:val="right"/>
        <w:rPr>
          <w:rFonts w:cs="Arial"/>
        </w:rPr>
      </w:pPr>
      <w:r>
        <w:t>ABl. NRW. 02/15 S. 88</w:t>
      </w:r>
    </w:p>
    <w:p w14:paraId="3EB0B64D" w14:textId="77777777" w:rsidR="006B38EC" w:rsidRDefault="006B38EC">
      <w:pPr>
        <w:pStyle w:val="Fliedftext"/>
      </w:pPr>
    </w:p>
    <w:p w14:paraId="1C4E718E" w14:textId="77777777" w:rsidR="006B38EC" w:rsidRDefault="006B38EC">
      <w:pPr>
        <w:pStyle w:val="Fliedftext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63DEF" w14:textId="77777777" w:rsidR="006B38EC" w:rsidRDefault="006B38EC">
      <w:r>
        <w:separator/>
      </w:r>
    </w:p>
  </w:endnote>
  <w:endnote w:type="continuationSeparator" w:id="0">
    <w:p w14:paraId="2A23F57B" w14:textId="77777777" w:rsidR="006B38EC" w:rsidRDefault="006B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D527A" w14:textId="77777777" w:rsidR="006B38EC" w:rsidRDefault="006B38EC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F46E9" w14:textId="77777777" w:rsidR="006B38EC" w:rsidRDefault="006B38EC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6506A83" w14:textId="77777777" w:rsidR="006B38EC" w:rsidRDefault="006B38EC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21F1A"/>
    <w:rsid w:val="006B38EC"/>
    <w:rsid w:val="00A339FA"/>
    <w:rsid w:val="00B2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EB5B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2024-09-10T02:33:00Z</dcterms:created>
  <dcterms:modified xsi:type="dcterms:W3CDTF">2024-09-10T02:33:00Z</dcterms:modified>
</cp:coreProperties>
</file>