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F5F8" w14:textId="77777777" w:rsidR="00F47C16" w:rsidRDefault="00F47C16">
      <w:pPr>
        <w:pStyle w:val="Bass-Nr"/>
      </w:pPr>
      <w:r>
        <w:t>14-23 Nr. 4</w:t>
      </w:r>
    </w:p>
    <w:p w14:paraId="543F0049" w14:textId="77777777" w:rsidR="00F47C16" w:rsidRDefault="00F47C16">
      <w:pPr>
        <w:pStyle w:val="RVueberschrift1100fz"/>
      </w:pPr>
      <w:bookmarkStart w:id="0" w:name="_Hlk157176877"/>
      <w:bookmarkEnd w:id="0"/>
      <w:r>
        <w:rPr>
          <w:lang w:eastAsia="de-DE"/>
        </w:rPr>
        <w:t>Mehr Freir</w:t>
      </w:r>
      <w:r>
        <w:rPr>
          <w:lang w:eastAsia="de-DE"/>
        </w:rPr>
        <w:t>ä</w:t>
      </w:r>
      <w:r>
        <w:rPr>
          <w:lang w:eastAsia="de-DE"/>
        </w:rPr>
        <w:t>ume f</w:t>
      </w:r>
      <w:r>
        <w:rPr>
          <w:lang w:eastAsia="de-DE"/>
        </w:rPr>
        <w:t>ü</w:t>
      </w:r>
      <w:r>
        <w:rPr>
          <w:lang w:eastAsia="de-DE"/>
        </w:rPr>
        <w:t xml:space="preserve">r Schulen </w:t>
      </w:r>
      <w:r>
        <w:rPr>
          <w:lang w:eastAsia="de-DE"/>
        </w:rPr>
        <w:br/>
        <w:t>mit erweiterter Selbstst</w:t>
      </w:r>
      <w:r>
        <w:rPr>
          <w:lang w:eastAsia="de-DE"/>
        </w:rPr>
        <w:t>ä</w:t>
      </w:r>
      <w:r>
        <w:rPr>
          <w:lang w:eastAsia="de-DE"/>
        </w:rPr>
        <w:t>ndigkeit</w:t>
      </w:r>
    </w:p>
    <w:p w14:paraId="0FFADE84" w14:textId="77777777" w:rsidR="00F47C16" w:rsidRDefault="00F47C16">
      <w:pPr>
        <w:pStyle w:val="RVueberschrift285nz"/>
      </w:pPr>
      <w:r>
        <w:rPr>
          <w:bCs/>
          <w:szCs w:val="20"/>
          <w:lang w:eastAsia="de-DE"/>
        </w:rPr>
        <w:t>Runderlass des Ministeriums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Schule und Bildung </w:t>
      </w:r>
    </w:p>
    <w:p w14:paraId="26373A4F" w14:textId="77777777" w:rsidR="00F47C16" w:rsidRDefault="00F47C16">
      <w:pPr>
        <w:pStyle w:val="RVueberschrift285nz"/>
      </w:pPr>
      <w:r>
        <w:t>V</w:t>
      </w:r>
      <w:r>
        <w:rPr>
          <w:bCs/>
          <w:szCs w:val="20"/>
          <w:lang w:eastAsia="de-DE"/>
        </w:rPr>
        <w:t>om 30. Juni 2024</w:t>
      </w:r>
      <w:r>
        <w:rPr>
          <w:b/>
          <w:bCs/>
          <w:sz w:val="20"/>
          <w:szCs w:val="20"/>
          <w:lang w:eastAsia="de-DE"/>
        </w:rPr>
        <w:t xml:space="preserve"> </w:t>
      </w:r>
      <w:r>
        <w:rPr>
          <w:szCs w:val="24"/>
        </w:rPr>
        <w:t>(ABI. NRW. 07/24)</w:t>
      </w:r>
    </w:p>
    <w:p w14:paraId="2FC49FB3" w14:textId="77777777" w:rsidR="00F47C16" w:rsidRDefault="00F47C16">
      <w:pPr>
        <w:pStyle w:val="RVueberschrift285fz"/>
      </w:pPr>
      <w:r>
        <w:rPr>
          <w:szCs w:val="20"/>
          <w:lang w:eastAsia="de-DE"/>
        </w:rPr>
        <w:t xml:space="preserve">1 </w:t>
      </w:r>
      <w:r>
        <w:rPr>
          <w:szCs w:val="20"/>
          <w:lang w:eastAsia="de-DE"/>
        </w:rPr>
        <w:br/>
        <w:t>Grunds</w:t>
      </w:r>
      <w:r>
        <w:rPr>
          <w:szCs w:val="20"/>
          <w:lang w:eastAsia="de-DE"/>
        </w:rPr>
        <w:t>ä</w:t>
      </w:r>
      <w:r>
        <w:rPr>
          <w:szCs w:val="20"/>
          <w:lang w:eastAsia="de-DE"/>
        </w:rPr>
        <w:t>tze</w:t>
      </w:r>
    </w:p>
    <w:p w14:paraId="252F55F1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1.1 Das Schulgesetz NRW (SchulG) erm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glicht den Schulen in Nordrhein-Westfalen schulische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ndigkeit und Eigenverantwortung. Die Schule gestaltet den Unterricht, die Erziehung und das Schulleben im Rahmen der Rechts- und Verwaltungsvorschriften in eigener Verantwortung. Sie verwaltet und organisiert ihre inneren Angelegenheiten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ndig. Die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sind verpflichtet, die Schulen in ihrer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ndigkeit und Eigenverantwortung zu beraten und zu unterst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tzen (</w:t>
      </w:r>
      <w:hyperlink r:id="rId6" w:history="1">
        <w:r>
          <w:rPr>
            <w:bCs/>
            <w:szCs w:val="20"/>
            <w:lang w:eastAsia="de-DE"/>
          </w:rPr>
          <w:t>§ 3 Absatz 1 SchulG NRW</w:t>
        </w:r>
      </w:hyperlink>
      <w:r>
        <w:rPr>
          <w:bCs/>
          <w:szCs w:val="20"/>
          <w:lang w:eastAsia="de-DE"/>
        </w:rPr>
        <w:t>). Das Schulgesetz und die Ausbildungs-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fungsordnungen enthalten bereits erhebliche Freir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ume, die von den Schulen in eigener Verantwortung wahrgenommen werden.</w:t>
      </w:r>
    </w:p>
    <w:p w14:paraId="2400D612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1.2 Zur Erprobung von Abweichungen grunds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tzlicher Art sieht das Schulgesetz NRW Schulversuche (</w:t>
      </w:r>
      <w:hyperlink r:id="rId7" w:history="1">
        <w:r>
          <w:rPr>
            <w:bCs/>
            <w:szCs w:val="20"/>
            <w:lang w:eastAsia="de-DE"/>
          </w:rPr>
          <w:t>§ 25 Absatz 1 SchulG</w:t>
        </w:r>
      </w:hyperlink>
      <w:r>
        <w:rPr>
          <w:bCs/>
          <w:szCs w:val="20"/>
          <w:lang w:eastAsia="de-DE"/>
        </w:rPr>
        <w:t>) und Versuchsschulen (</w:t>
      </w:r>
      <w:hyperlink r:id="rId8" w:history="1">
        <w:r>
          <w:rPr>
            <w:bCs/>
            <w:szCs w:val="20"/>
            <w:lang w:eastAsia="de-DE"/>
          </w:rPr>
          <w:t>§ 25 Absatz 2 SchulG</w:t>
        </w:r>
      </w:hyperlink>
      <w:r>
        <w:rPr>
          <w:bCs/>
          <w:szCs w:val="20"/>
          <w:lang w:eastAsia="de-DE"/>
        </w:rPr>
        <w:t xml:space="preserve">) vor. Gegenstand dieses Erlasses ist die Experimentierklausel nach </w:t>
      </w:r>
      <w:hyperlink r:id="rId9" w:history="1">
        <w:r>
          <w:rPr>
            <w:bCs/>
            <w:szCs w:val="20"/>
            <w:lang w:eastAsia="de-DE"/>
          </w:rPr>
          <w:t>§ 25 Absatz 3 SchulG</w:t>
        </w:r>
      </w:hyperlink>
      <w:r>
        <w:rPr>
          <w:bCs/>
          <w:szCs w:val="20"/>
          <w:lang w:eastAsia="de-DE"/>
        </w:rPr>
        <w:t xml:space="preserve">: </w:t>
      </w:r>
    </w:p>
    <w:p w14:paraId="4F212A02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Zur Erprobung neuer Modelle erweiterter Selbstverwaltung und Eigenverantwortung kann Schulen auf deren Antrag im Rahmen einer Kooperationsvereinbarung mit dem Schultr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ger und der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gestattet werden, von einzelnen bestehenden Rechtsvorschriften abzuweichen (Schulentwicklungsvorhaben).</w:t>
      </w:r>
    </w:p>
    <w:p w14:paraId="465574C7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1.3 Mit dem Gesetz zur Modernisierung und 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rkung der Eigenverantwortung von Schulen (16. Schulrechts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nderungsgesetz) vom 23. Februar 2022 wurde der bisherige Katalog der Erprobungsgegenst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nde erweitert und zus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tzlich in </w:t>
      </w:r>
      <w:hyperlink r:id="rId10" w:history="1">
        <w:r>
          <w:rPr>
            <w:bCs/>
            <w:szCs w:val="20"/>
            <w:lang w:eastAsia="de-DE"/>
          </w:rPr>
          <w:t>§ 25 Absatz 5 Schulgesetz NRW</w:t>
        </w:r>
      </w:hyperlink>
      <w:r>
        <w:rPr>
          <w:bCs/>
          <w:szCs w:val="20"/>
          <w:lang w:eastAsia="de-DE"/>
        </w:rPr>
        <w:t xml:space="preserve"> die M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glichkeit vorgesehen, Schulentwicklungsvorhaben auch unbefristet zu genehmigen (Schule mit erweiterter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ndigkeit).</w:t>
      </w:r>
    </w:p>
    <w:p w14:paraId="576DDF44" w14:textId="77777777" w:rsidR="00F47C16" w:rsidRDefault="00F47C16">
      <w:pPr>
        <w:pStyle w:val="RVueberschrift285fz"/>
      </w:pPr>
      <w:r>
        <w:rPr>
          <w:szCs w:val="20"/>
          <w:lang w:eastAsia="de-DE"/>
        </w:rPr>
        <w:t xml:space="preserve">2 </w:t>
      </w:r>
      <w:r>
        <w:rPr>
          <w:szCs w:val="20"/>
          <w:lang w:eastAsia="de-DE"/>
        </w:rPr>
        <w:br/>
        <w:t xml:space="preserve">Standards und Voraussetzungen der Genehmigung </w:t>
      </w:r>
      <w:r>
        <w:rPr>
          <w:szCs w:val="20"/>
          <w:lang w:eastAsia="de-DE"/>
        </w:rPr>
        <w:br/>
        <w:t xml:space="preserve">nach </w:t>
      </w:r>
      <w:r>
        <w:rPr>
          <w:szCs w:val="20"/>
          <w:lang w:eastAsia="de-DE"/>
        </w:rPr>
        <w:t>§</w:t>
      </w:r>
      <w:r>
        <w:rPr>
          <w:szCs w:val="20"/>
          <w:lang w:eastAsia="de-DE"/>
        </w:rPr>
        <w:t xml:space="preserve"> 25 Absatz 3 SchulG NRW</w:t>
      </w:r>
    </w:p>
    <w:p w14:paraId="2D1B1FE7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2.1 Schulen kann durch das Ministerium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Schule und Bildung gestattet werden, abweichend von den bestehenden Rechtsvorschriften, innovative schulische Vorhaben insbesondere bei</w:t>
      </w:r>
    </w:p>
    <w:p w14:paraId="04A39F7D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1. der Bildung von Lerngruppen,</w:t>
      </w:r>
    </w:p>
    <w:p w14:paraId="142A253A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2. der Unterrichtsorganisation,</w:t>
      </w:r>
    </w:p>
    <w:p w14:paraId="2FE2D8FE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3. den Formen der 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u</w:t>
      </w:r>
      <w:r>
        <w:rPr>
          <w:bCs/>
          <w:szCs w:val="20"/>
          <w:lang w:eastAsia="de-DE"/>
        </w:rPr>
        <w:t>ß</w:t>
      </w:r>
      <w:r>
        <w:rPr>
          <w:bCs/>
          <w:szCs w:val="20"/>
          <w:lang w:eastAsia="de-DE"/>
        </w:rPr>
        <w:t>eren Differenzierung,</w:t>
      </w:r>
    </w:p>
    <w:p w14:paraId="2CAB6795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4. dem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bergang in eine 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here Klasse oder Jahrgangsstufe,</w:t>
      </w:r>
    </w:p>
    <w:p w14:paraId="46B19AC4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5. den Vorgaben der Richtlinien, Lehrpl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ne und Stundentafeln</w:t>
      </w:r>
    </w:p>
    <w:p w14:paraId="268B30AA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als Entwicklungsvorhaben gem. </w:t>
      </w:r>
      <w:hyperlink r:id="rId11" w:history="1">
        <w:r>
          <w:rPr>
            <w:bCs/>
            <w:szCs w:val="20"/>
            <w:lang w:eastAsia="de-DE"/>
          </w:rPr>
          <w:t>§ 25 Absatz 3 SchulG</w:t>
        </w:r>
      </w:hyperlink>
      <w:r>
        <w:rPr>
          <w:bCs/>
          <w:szCs w:val="20"/>
          <w:lang w:eastAsia="de-DE"/>
        </w:rPr>
        <w:t xml:space="preserve"> (BASS 1-1) zu erproben.</w:t>
      </w:r>
    </w:p>
    <w:p w14:paraId="44D6ACF8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2.2 Bei der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des Entwicklungsvorhabens d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rfen keine zus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tzlichen Kosten verursacht werden. Das Ministerium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Schule und Bildung stellt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von Schulentwicklungsvorhaben keine zus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tzlichen Ressourcen zur Verf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gung. </w:t>
      </w:r>
    </w:p>
    <w:p w14:paraId="7AB67D4F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2.3 Es muss gew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hrleistet sein, dass grundlegende Leitentscheidungen des Schulgesetzes und der Ausbildungs-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fungsordnungen eingehalten werden und die von den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lerinnen und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lern erworbenen Abschl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 vergleichbar und gleichwertig sind. Die Einhaltung der Bildungsstandards und die Anerkennung der Abschl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 in den 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ndern der Bundesrepublik Deutschland m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ssen gesichert sein.</w:t>
      </w:r>
    </w:p>
    <w:p w14:paraId="45F22A06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2.4 Abweichungen von den Regelungen zur Leistungsbewertung gem. </w:t>
      </w:r>
      <w:hyperlink r:id="rId12" w:history="1">
        <w:r>
          <w:rPr>
            <w:bCs/>
            <w:szCs w:val="20"/>
            <w:lang w:eastAsia="de-DE"/>
          </w:rPr>
          <w:t>§ 48 SchulG</w:t>
        </w:r>
      </w:hyperlink>
      <w:r>
        <w:rPr>
          <w:bCs/>
          <w:szCs w:val="20"/>
          <w:lang w:eastAsia="de-DE"/>
        </w:rPr>
        <w:t xml:space="preserve"> und zur Dokumentation von Fehlzeiten gem. </w:t>
      </w:r>
      <w:hyperlink r:id="rId13" w:history="1">
        <w:r>
          <w:rPr>
            <w:bCs/>
            <w:szCs w:val="20"/>
            <w:lang w:eastAsia="de-DE"/>
          </w:rPr>
          <w:t>§ 49 Absatz 2 SchulG</w:t>
        </w:r>
      </w:hyperlink>
      <w:r>
        <w:rPr>
          <w:bCs/>
          <w:szCs w:val="20"/>
          <w:lang w:eastAsia="de-DE"/>
        </w:rPr>
        <w:t xml:space="preserve"> einschlie</w:t>
      </w:r>
      <w:r>
        <w:rPr>
          <w:bCs/>
          <w:szCs w:val="20"/>
          <w:lang w:eastAsia="de-DE"/>
        </w:rPr>
        <w:t>ß</w:t>
      </w:r>
      <w:r>
        <w:rPr>
          <w:bCs/>
          <w:szCs w:val="20"/>
          <w:lang w:eastAsia="de-DE"/>
        </w:rPr>
        <w:t>lich der zu diesen Bestimmungen erlassenen Ausf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hrungsvorschriften sind im Interesse der Gleichbehandlung aller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lerinnen und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 nicht m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glich. Dies gilt auch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den Inhalt und die Ausgestaltung von Abschluss-,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berweisungs- und Abgangszeugnissen.</w:t>
      </w:r>
    </w:p>
    <w:p w14:paraId="7642F86D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2.5 Regelungen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das Abschlussverfahren zum Erwerb des Erweiterten Ersten Schulabschlusses und des Mittleren Schulabschlusses gem. </w:t>
      </w:r>
      <w:hyperlink r:id="rId14" w:history="1">
        <w:r>
          <w:rPr>
            <w:bCs/>
            <w:szCs w:val="20"/>
            <w:lang w:eastAsia="de-DE"/>
          </w:rPr>
          <w:t>§ 12 Absatz 3 SchulG</w:t>
        </w:r>
      </w:hyperlink>
      <w:r>
        <w:rPr>
          <w:bCs/>
          <w:szCs w:val="20"/>
          <w:lang w:eastAsia="de-DE"/>
        </w:rPr>
        <w:t xml:space="preserve"> und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Abiturpr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fung gem. </w:t>
      </w:r>
      <w:hyperlink r:id="rId15" w:history="1">
        <w:r>
          <w:rPr>
            <w:bCs/>
            <w:szCs w:val="20"/>
            <w:lang w:eastAsia="de-DE"/>
          </w:rPr>
          <w:t>§ 18 Absatz 5 SchulG</w:t>
        </w:r>
      </w:hyperlink>
      <w:r>
        <w:rPr>
          <w:bCs/>
          <w:szCs w:val="20"/>
          <w:lang w:eastAsia="de-DE"/>
        </w:rPr>
        <w:t xml:space="preserve">   bleiben durch Entwicklungsvorhaben ebenfalls unber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hrt.</w:t>
      </w:r>
    </w:p>
    <w:p w14:paraId="02415C0C" w14:textId="77777777" w:rsidR="00F47C16" w:rsidRDefault="00F47C16">
      <w:pPr>
        <w:pStyle w:val="RVueberschrift285fz"/>
      </w:pPr>
      <w:r>
        <w:rPr>
          <w:szCs w:val="20"/>
          <w:lang w:eastAsia="de-DE"/>
        </w:rPr>
        <w:t xml:space="preserve">3 </w:t>
      </w:r>
      <w:r>
        <w:rPr>
          <w:szCs w:val="20"/>
          <w:lang w:eastAsia="de-DE"/>
        </w:rPr>
        <w:br/>
        <w:t>Antragsverfahren</w:t>
      </w:r>
    </w:p>
    <w:p w14:paraId="2074E1F2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Die Genehmigung eines Vorhabens durch das Ministerium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Schule und Bildung setzt eine Antragsstellung unter Beachtung nachstehender Verfahrensgrunds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tze und Verwendung der im Bildungsportal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ffentlichen Formulare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Schulentwicklungsvorhaben voraus. </w:t>
      </w:r>
    </w:p>
    <w:p w14:paraId="3F0CD37D" w14:textId="77777777" w:rsidR="00F47C16" w:rsidRDefault="00F47C16">
      <w:pPr>
        <w:pStyle w:val="RVfliesstext175nb"/>
      </w:pPr>
    </w:p>
    <w:p w14:paraId="6A1A3355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Voraussetzung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Genehmigung des Vorhabens ist die hinreichende Beschreibung von Inhalt, Ziel,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und Dauer in einem Programm (</w:t>
      </w:r>
      <w:hyperlink r:id="rId16" w:history="1">
        <w:r>
          <w:rPr>
            <w:bCs/>
            <w:szCs w:val="20"/>
            <w:lang w:eastAsia="de-DE"/>
          </w:rPr>
          <w:t>§ 25 Absatz 4 SchulG</w:t>
        </w:r>
      </w:hyperlink>
      <w:r>
        <w:rPr>
          <w:bCs/>
          <w:szCs w:val="20"/>
          <w:lang w:eastAsia="de-DE"/>
        </w:rPr>
        <w:t>).</w:t>
      </w:r>
    </w:p>
    <w:p w14:paraId="0A302451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3.1 Die Schule kann vor einer Antragstellung zur Beratung und Vorpr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 ganzj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hrig mit einer Skizze zum Vorhaben an die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(Schulamt/Bezirksregierung) herantreten.</w:t>
      </w:r>
    </w:p>
    <w:p w14:paraId="73EDE222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Diese Skizze soll mindestens folgende Angaben enthalten: </w:t>
      </w:r>
    </w:p>
    <w:p w14:paraId="080920BA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Eckpunkte des Erprobungskonzepts (Beschreibung des Vorhabens und des Erprobungsziels),</w:t>
      </w:r>
    </w:p>
    <w:p w14:paraId="6139221C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Dauer und geplanter Beginn des Vorhabens (Zeitplan) und</w:t>
      </w:r>
    </w:p>
    <w:p w14:paraId="67DE8242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die mit dem Vorhaben verbundenen Abweichungen von Rechtsvorschriften.</w:t>
      </w:r>
    </w:p>
    <w:p w14:paraId="5E380201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Noch bevor die Schule in eine breit angelegte Konzeptentwicklung mit allen Beteiligten vor Ort einsteigt, erh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lt sie so die M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glichkeit, die Grundz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ge ihres Erprobungskonzepts der gem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 xml:space="preserve"> </w:t>
      </w:r>
      <w:hyperlink r:id="rId17" w:history="1">
        <w:r>
          <w:rPr>
            <w:bCs/>
            <w:szCs w:val="20"/>
            <w:lang w:eastAsia="de-DE"/>
          </w:rPr>
          <w:t>§ 88 Absatz 2 und 3 SchulG</w:t>
        </w:r>
      </w:hyperlink>
      <w:r>
        <w:rPr>
          <w:bCs/>
          <w:szCs w:val="20"/>
          <w:lang w:eastAsia="de-DE"/>
        </w:rPr>
        <w:t xml:space="preserve">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schriftlich vorzustellen und zu erl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utern, um eine erste Einsch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tzung zu dem Vorhaben zu erhalten.</w:t>
      </w:r>
    </w:p>
    <w:p w14:paraId="25B1CD03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Die schulfachliche und schulrechtliche Bewertung der Skizze wird dem Ministerium zur Zustimmung vorgelegt. Die 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ckmeldung an die Schule erfolgt im Anschluss durch die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 Schulaufsicht.</w:t>
      </w:r>
    </w:p>
    <w:p w14:paraId="3112AE1A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3.2. Die Schule reicht den Antrag auf dem Dienstweg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die jeweils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in der Gesch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ftsstelle zu den jeweils j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hrlich festgesetzten Fristen bei der Schulentwicklungskonferenz ein. </w:t>
      </w:r>
    </w:p>
    <w:p w14:paraId="34ADF642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Der Antrag ist durch die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mit einer aussagekr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ftigen und umfassenden schulaufsichtlichen Stellungnahme an die Gesch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ftsstelle der Schulentwicklungskonferenz zu leiten.</w:t>
      </w:r>
    </w:p>
    <w:p w14:paraId="10CD2183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Die Stellungnahme umfasst einen Vorschlag hinsichtlich der Entscheidung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den Antrag und die tragenden fachlichen und rechtlichen Gr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nde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Bewertung. Auf aus Sicht der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bestehende Genehmigungshindernisse ist hinzuweisen. Schulfachliche Stellungnahmen der oberen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sind mit dem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ndigen schulrechtlichen Dezernat abzustimmen. </w:t>
      </w:r>
    </w:p>
    <w:p w14:paraId="288B68C5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Um die Festlegung von Inhalt, Ziel,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und Dauer in einem Programm (</w:t>
      </w:r>
      <w:hyperlink r:id="rId18" w:history="1">
        <w:r>
          <w:rPr>
            <w:bCs/>
            <w:szCs w:val="20"/>
            <w:lang w:eastAsia="de-DE"/>
          </w:rPr>
          <w:t>§ 25 Abs. 3 SchulG</w:t>
        </w:r>
      </w:hyperlink>
      <w:r>
        <w:rPr>
          <w:bCs/>
          <w:szCs w:val="20"/>
          <w:lang w:eastAsia="de-DE"/>
        </w:rPr>
        <w:t>) im Antrag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ein Schulentwicklungsvorhaben darzustellen, m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ssen mindestens folgende Inhalte enthalten sein:</w:t>
      </w:r>
    </w:p>
    <w:p w14:paraId="073F20AA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Bezeichnung des Vorhabens/ Erprobungsziels,</w:t>
      </w:r>
    </w:p>
    <w:p w14:paraId="1BD4DE18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Beantragte Dauer und Beginn,</w:t>
      </w:r>
    </w:p>
    <w:p w14:paraId="50590B5F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konkrete Benennung der schulrechtlichen Abweichungen,</w:t>
      </w:r>
    </w:p>
    <w:p w14:paraId="03160E63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 xml:space="preserve">- Zustimmung der Schulkonferenz gem. </w:t>
      </w:r>
      <w:r>
        <w:rPr>
          <w:bCs/>
          <w:szCs w:val="20"/>
          <w:lang w:eastAsia="de-DE"/>
        </w:rPr>
        <w:t>§</w:t>
      </w:r>
      <w:r>
        <w:rPr>
          <w:bCs/>
          <w:szCs w:val="20"/>
          <w:lang w:eastAsia="de-DE"/>
        </w:rPr>
        <w:t xml:space="preserve"> 65 Absatz 2 Nummer 10 SchulG,</w:t>
      </w:r>
    </w:p>
    <w:p w14:paraId="00329B66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Zustimmung des Schultr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gers,</w:t>
      </w:r>
    </w:p>
    <w:p w14:paraId="30804AB6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Kooperationsvereinbarungen mit Schultr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ger und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rde, </w:t>
      </w:r>
    </w:p>
    <w:p w14:paraId="44BEEA80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 xml:space="preserve">- Nachweis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die Ressourcenneutralit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t,</w:t>
      </w:r>
    </w:p>
    <w:p w14:paraId="6B36F788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Nachweis zur Einhaltung der Standards zum Erwerb von Abschl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ssen und Berechtigungen sowie der in den Ausbildungs-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fungsordnungen festgelegten Grunds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tze der Leistungsbewertung,</w:t>
      </w:r>
    </w:p>
    <w:p w14:paraId="36C2FDBD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Darstellung der beabsichtigten Evaluation (Evaluationskonzept).</w:t>
      </w:r>
    </w:p>
    <w:p w14:paraId="718D13B3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3.3 Das Ministerium entscheidet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Antr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 auf Grundlage der schriftlichen Stellungnahme der Mitglieder der Schulentwicklungskonferenz gem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 xml:space="preserve"> Nummer 4, soweit die Antr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 fristgem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 xml:space="preserve"> eingegangen und vollst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 sind. Es kann eine Erg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nzung des Antrags bei der Schule oder der schulfachlichen Stellungnahme bei der Schulaufsicht anfordern. Ebenso kann es sich das Vorhaben durch die Schule und die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in geeigneter Form erl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utern lassen. </w:t>
      </w:r>
    </w:p>
    <w:p w14:paraId="4C39A446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3.4. Das Ministerium genehmigt ein Entwicklungsvorhaben zun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chst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maximal sechs Schuljahre. Das Ministerium kann die Genehmigung mit Nebenbestimmungen versehen.  </w:t>
      </w:r>
    </w:p>
    <w:p w14:paraId="5A600125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3.5. Die Schulentwicklungskonferenz entscheidet jeweils, ob ein Vorhaben grunds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 auch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andere Schulen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bernahmef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hig ist. Beantragt eine andere Schule die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bernahme des Vorhabens, bedarf es keiner nochmaligen inhaltlichen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 seitens des Ministeriums und auch keiner vorherigen Befassung der Schulentwicklungskonferenz. Die Schule stellt bei der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rde einen Antrag auf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bernahme. Die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ft, ob das bereits genehmigte Entwicklungsvorhaben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bernommen werden kann. Dies setzt voraus, dass bei der beantragenden Schule alle Voraussetzungen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Genehmigung des Vorhabens gegeben sind. Die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zeigt dem Ministerium das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fungsergebnis an.</w:t>
      </w:r>
    </w:p>
    <w:p w14:paraId="3018E1FA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Die Erprobungszeit aller an einem Vorhaben beteiligten Schulen endet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alle Schulen, auch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Schulen, die sich zu einem sp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teren Zeitpunkt angeschlossen haben, mit Ablauf der Erprobungszeit des urspr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nglichen Vorhabens. Die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weist im Beratungsgespr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ch ausdr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cklich darauf hin. </w:t>
      </w:r>
    </w:p>
    <w:p w14:paraId="45A1FF20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3.6. Sp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testens sechs Monate vor Ablauf des Erprobungszeitraums legt jede an einem Vorhaben beteiligte Schule der Schulentwicklungskonferenz einen mit einer Stellungnahme der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rde versehenen Evaluationsbericht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ber ihr Entwicklungsvorhaben vor. </w:t>
      </w:r>
    </w:p>
    <w:p w14:paraId="72C53727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Bei der Entscheidung zur Weiterf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oder Beendigung des Entwicklungsvorhabens ber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cksichtigt das Ministerium die Stellungnahme der Schulentwicklungskonferenz.</w:t>
      </w:r>
    </w:p>
    <w:p w14:paraId="12E1CCC8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Folgende Empfehlungen k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nnen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evaluierten Schulentwicklungsvorhaben von der Schulentwicklungskonferenz abgegeben werden:</w:t>
      </w:r>
    </w:p>
    <w:p w14:paraId="7B79C0A3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a) Das Entwicklungsvorhaben erweist sich als geeignet. </w:t>
      </w:r>
    </w:p>
    <w:p w14:paraId="08E01EF6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 xml:space="preserve">Die Schulentwicklungskonferenz empfiehlt, </w:t>
      </w:r>
    </w:p>
    <w:p w14:paraId="19106CA8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lastRenderedPageBreak/>
        <w:t xml:space="preserve">- das Vorhaben </w:t>
      </w:r>
      <w:r>
        <w:rPr>
          <w:bCs/>
          <w:szCs w:val="20"/>
          <w:lang w:eastAsia="de-DE"/>
        </w:rPr>
        <w:t>–</w:t>
      </w:r>
      <w:r>
        <w:rPr>
          <w:bCs/>
          <w:szCs w:val="20"/>
          <w:lang w:eastAsia="de-DE"/>
        </w:rPr>
        <w:t xml:space="preserve"> gegebenenfalls mit Modifikationen </w:t>
      </w:r>
      <w:r>
        <w:rPr>
          <w:bCs/>
          <w:szCs w:val="20"/>
          <w:lang w:eastAsia="de-DE"/>
        </w:rPr>
        <w:t>–</w:t>
      </w:r>
      <w:r>
        <w:rPr>
          <w:bCs/>
          <w:szCs w:val="20"/>
          <w:lang w:eastAsia="de-DE"/>
        </w:rPr>
        <w:t xml:space="preserve"> fortzuf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hren und eine Rechts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nderung vorzunehmen,</w:t>
      </w:r>
    </w:p>
    <w:p w14:paraId="26251FBB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eine befristete Verl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ngerung des Erprobungszeitraums oder </w:t>
      </w:r>
    </w:p>
    <w:p w14:paraId="793F1356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auf Antrag das Vorhaben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einzelne Schulen unbefristet zu genehmigen (Schulen mit erweiterter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ndigkeit). Die Schule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ft regelm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>ig gem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 xml:space="preserve"> </w:t>
      </w:r>
      <w:hyperlink r:id="rId19" w:history="1">
        <w:r>
          <w:rPr>
            <w:bCs/>
            <w:szCs w:val="20"/>
            <w:lang w:eastAsia="de-DE"/>
          </w:rPr>
          <w:t>§ 25 Absatz 5 SchulG</w:t>
        </w:r>
      </w:hyperlink>
      <w:r>
        <w:rPr>
          <w:bCs/>
          <w:szCs w:val="20"/>
          <w:lang w:eastAsia="de-DE"/>
        </w:rPr>
        <w:t xml:space="preserve"> ihre Arbeit und berichtet der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dar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ber. </w:t>
      </w:r>
    </w:p>
    <w:p w14:paraId="03D5B23F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Das Ministerium kann seine Entscheidung widerrufen, wenn die Voraussetzungen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die Entscheidung nicht mehr vorliegen. </w:t>
      </w:r>
    </w:p>
    <w:p w14:paraId="3823D2DC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b) Das Entwicklungsvorhaben erweist sich als nicht geeignet, die angestrebten Ziele zu erreichen. In diesem Fall ist das Vorhaben beendet.</w:t>
      </w:r>
    </w:p>
    <w:p w14:paraId="515D0FB2" w14:textId="77777777" w:rsidR="00F47C16" w:rsidRDefault="00F47C16">
      <w:pPr>
        <w:pStyle w:val="RVueberschrift285fz"/>
      </w:pPr>
      <w:r>
        <w:rPr>
          <w:szCs w:val="20"/>
          <w:lang w:eastAsia="de-DE"/>
        </w:rPr>
        <w:t xml:space="preserve">4 </w:t>
      </w:r>
      <w:r>
        <w:rPr>
          <w:szCs w:val="20"/>
          <w:lang w:eastAsia="de-DE"/>
        </w:rPr>
        <w:br/>
        <w:t>Schulentwicklungskonferenz</w:t>
      </w:r>
    </w:p>
    <w:p w14:paraId="7A300E54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Die Schulentwicklungskonferenz ber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ft die eingereichten Antr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 zweimal pro Schuljahr. Die Termine, die Antragsfristen und die zu nutzenden Formulare werden rechtzeitig im Bildungsportal des Ministeriums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ffentlicht.</w:t>
      </w:r>
    </w:p>
    <w:p w14:paraId="20A2B796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4.1 Das Ministerium richtet eine schulform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bergreifende Schulentwicklungskonferenz ein, die die Entwicklungsvorhaben auf ihre Wirkungen und Ergebnisse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ft und begleitet.</w:t>
      </w:r>
    </w:p>
    <w:p w14:paraId="1D69ADC4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Die Schulentwicklungskonferenz</w:t>
      </w:r>
    </w:p>
    <w:p w14:paraId="7A3BFB7C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begutachtet die Entwicklungsvorhaben und gibt gegen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dem Ministerium ein Votum ab,</w:t>
      </w:r>
    </w:p>
    <w:p w14:paraId="6A2BC898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 xml:space="preserve">- wertet die von den Schulen mit Entwicklungsvorhaben vorzulegenden Berichte daraufhin aus, ob und wieweit diese Vorhaben auf das gesamte Schulwesen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bertragbar sind oder nur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diese Schule geeignet ist,</w:t>
      </w:r>
    </w:p>
    <w:p w14:paraId="2CBB557F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gibt den Schulen Impulse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weitere Entwicklung,</w:t>
      </w:r>
    </w:p>
    <w:p w14:paraId="29CBC0A8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gibt gegen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dem Ministerium eine Empfehlung zu erprobten Entwicklungsvorhaben ab.</w:t>
      </w:r>
    </w:p>
    <w:p w14:paraId="08AAA681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4.2 Als stimmberechtigte Mitglieder beruft das Ministerium:</w:t>
      </w:r>
    </w:p>
    <w:p w14:paraId="15C2628E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eine Vertreterin oder einen Vertreter des Ministeriums als Vorsitzende oder Vorsitzenden,</w:t>
      </w:r>
    </w:p>
    <w:p w14:paraId="5D4BA432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drei weitere Vertreterinnen oder Vertreter des Ministeriums,</w:t>
      </w:r>
    </w:p>
    <w:p w14:paraId="39E6FE5C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drei Vertreterinnen oder Vertreter der kommunalen Spitzenverb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nde. </w:t>
      </w:r>
    </w:p>
    <w:p w14:paraId="6DB8F459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die Empfehlungen bedarf es der Mehrheit der abgegebenen Stimmen. </w:t>
      </w:r>
    </w:p>
    <w:p w14:paraId="6B82EDDE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Zus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 werden</w:t>
      </w:r>
    </w:p>
    <w:p w14:paraId="18EC6173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eine Vertreterin oder einen Vertreter des Ministeriums benannt, der oder dem die Gesch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ftsf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obliegt,</w:t>
      </w:r>
    </w:p>
    <w:p w14:paraId="3F633FBC" w14:textId="77777777" w:rsidR="00F47C16" w:rsidRDefault="00F47C16">
      <w:pPr>
        <w:pStyle w:val="RVfliesstext175nb"/>
        <w:ind w:left="0" w:firstLine="0"/>
      </w:pPr>
      <w:r>
        <w:rPr>
          <w:bCs/>
          <w:szCs w:val="20"/>
          <w:lang w:eastAsia="de-DE"/>
        </w:rPr>
        <w:t>- bei Bedarf Personen zur Beratung aus dem schulrechtlichen oder schulfachlichen Bereich aus unterer, oberer oder oberster Schulaufsicht beteiligt. In diesem Fall erfolgt eine rollierende Beteiligung aus einem jeweils nicht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antragstellende Schule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ndigen Schulaufsichtsbezirk. </w:t>
      </w:r>
    </w:p>
    <w:p w14:paraId="5D90E9A9" w14:textId="77777777" w:rsidR="00F47C16" w:rsidRDefault="00F47C16">
      <w:pPr>
        <w:pStyle w:val="RVueberschrift285fz"/>
      </w:pPr>
      <w:r>
        <w:rPr>
          <w:szCs w:val="20"/>
          <w:lang w:eastAsia="de-DE"/>
        </w:rPr>
        <w:t xml:space="preserve">5 </w:t>
      </w:r>
      <w:r>
        <w:rPr>
          <w:szCs w:val="20"/>
          <w:lang w:eastAsia="de-DE"/>
        </w:rPr>
        <w:br/>
        <w:t>Transparenz der Entwicklungsvorhaben</w:t>
      </w:r>
    </w:p>
    <w:p w14:paraId="1B60D47C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5.1 Entwicklungsvorhaben sind als Teil des Schulprogramms von der Schule in geeigneter Weise zu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ffentlichen. Eltern sind bei der Schulanmeldung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die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und den Inhalt des Entwicklungsvorhabens zu informieren.</w:t>
      </w:r>
    </w:p>
    <w:p w14:paraId="6CC45596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5.2 Das Ministerium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ffentlicht im Bildungsportal eine Liste der genehmigten Entwicklungsvorhaben. Bei den einzelnen Entwicklungsvorhaben werden Laufzeit und die Bestimmungen der Ausbildungs-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fungsordnungen genannt, von denen im Rahmen des Vorhabens abgewichen wird.</w:t>
      </w:r>
    </w:p>
    <w:p w14:paraId="431452B4" w14:textId="77777777" w:rsidR="00F47C16" w:rsidRDefault="00F47C16">
      <w:pPr>
        <w:pStyle w:val="RVueberschrift285fz"/>
      </w:pPr>
      <w:r>
        <w:rPr>
          <w:szCs w:val="20"/>
          <w:lang w:eastAsia="de-DE"/>
        </w:rPr>
        <w:t xml:space="preserve">6 </w:t>
      </w:r>
      <w:r>
        <w:rPr>
          <w:szCs w:val="20"/>
          <w:lang w:eastAsia="de-DE"/>
        </w:rPr>
        <w:br/>
        <w:t>Inkrafttreten, Au</w:t>
      </w:r>
      <w:r>
        <w:rPr>
          <w:szCs w:val="20"/>
          <w:lang w:eastAsia="de-DE"/>
        </w:rPr>
        <w:t>ß</w:t>
      </w:r>
      <w:r>
        <w:rPr>
          <w:szCs w:val="20"/>
          <w:lang w:eastAsia="de-DE"/>
        </w:rPr>
        <w:t>erkrafttreten</w:t>
      </w:r>
    </w:p>
    <w:p w14:paraId="7DB59CED" w14:textId="77777777" w:rsidR="00F47C16" w:rsidRDefault="00F47C16">
      <w:pPr>
        <w:pStyle w:val="RVfliesstext175nb"/>
      </w:pPr>
      <w:r>
        <w:rPr>
          <w:bCs/>
          <w:szCs w:val="20"/>
          <w:lang w:eastAsia="de-DE"/>
        </w:rPr>
        <w:t>Dieser Runderlass tritt am Tag nach der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ffentlichung im Amtsblatt in Kraft. Gleichzeitig tritt der Runderlass </w:t>
      </w:r>
      <w:r>
        <w:rPr>
          <w:bCs/>
          <w:szCs w:val="20"/>
          <w:lang w:eastAsia="de-DE"/>
        </w:rPr>
        <w:t>„</w:t>
      </w:r>
      <w:r>
        <w:rPr>
          <w:bCs/>
          <w:szCs w:val="20"/>
          <w:lang w:eastAsia="de-DE"/>
        </w:rPr>
        <w:t>Mehr Freir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ume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innovative schulische Vorhaben</w:t>
      </w:r>
      <w:r>
        <w:rPr>
          <w:bCs/>
          <w:szCs w:val="20"/>
          <w:lang w:eastAsia="de-DE"/>
        </w:rPr>
        <w:t>“</w:t>
      </w:r>
      <w:r>
        <w:rPr>
          <w:bCs/>
          <w:szCs w:val="20"/>
          <w:lang w:eastAsia="de-DE"/>
        </w:rPr>
        <w:t xml:space="preserve"> des Ministeriums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Schule und Weiterbildung vom 2. Juli 2012 (ABl. NRW. S. 431) au</w:t>
      </w:r>
      <w:r>
        <w:rPr>
          <w:bCs/>
          <w:szCs w:val="20"/>
          <w:lang w:eastAsia="de-DE"/>
        </w:rPr>
        <w:t>ß</w:t>
      </w:r>
      <w:r>
        <w:rPr>
          <w:bCs/>
          <w:szCs w:val="20"/>
          <w:lang w:eastAsia="de-DE"/>
        </w:rPr>
        <w:t>er Kraft</w:t>
      </w:r>
      <w:hyperlink r:id="rId20" w:history="1">
        <w:r>
          <w:rPr>
            <w:bCs/>
            <w:szCs w:val="20"/>
            <w:lang w:eastAsia="de-DE"/>
          </w:rPr>
          <w:t>.</w:t>
        </w:r>
      </w:hyperlink>
    </w:p>
    <w:p w14:paraId="3B5232A0" w14:textId="77777777" w:rsidR="00F47C16" w:rsidRDefault="00F47C16">
      <w:pPr>
        <w:pStyle w:val="RVfliesstext175nb"/>
      </w:pPr>
    </w:p>
    <w:sectPr w:rsidR="00000000">
      <w:footerReference w:type="default" r:id="rId2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8442" w14:textId="77777777" w:rsidR="00F47C16" w:rsidRDefault="00F47C16">
      <w:r>
        <w:separator/>
      </w:r>
    </w:p>
  </w:endnote>
  <w:endnote w:type="continuationSeparator" w:id="0">
    <w:p w14:paraId="434121CC" w14:textId="77777777" w:rsidR="00F47C16" w:rsidRDefault="00F4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51B6" w14:textId="77777777" w:rsidR="00F47C16" w:rsidRDefault="00F47C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E4AE" w14:textId="77777777" w:rsidR="00F47C16" w:rsidRDefault="00F47C16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5C0F6D7B" w14:textId="77777777" w:rsidR="00F47C16" w:rsidRDefault="00F47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0E7E"/>
    <w:rsid w:val="00A339FA"/>
    <w:rsid w:val="00BB0E7E"/>
    <w:rsid w:val="00F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B3F8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Fuc39fnotentextZchn">
    <w:name w:val="FuÃc3Ÿ9fnotentext Zchn"/>
    <w:basedOn w:val="Absatz-Standardschriftart"/>
    <w:uiPriority w:val="99"/>
    <w:rPr>
      <w:sz w:val="20"/>
      <w:szCs w:val="20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F5496"/>
      <w:sz w:val="40"/>
      <w:szCs w:val="4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spacing w:after="0" w:line="320" w:lineRule="exact"/>
      <w:ind w:left="-23" w:hanging="357"/>
      <w:outlineLvl w:val="9"/>
    </w:pPr>
    <w:rPr>
      <w:rFonts w:ascii="Arial" w:hAnsi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5" TargetMode="External"/><Relationship Id="rId13" Type="http://schemas.openxmlformats.org/officeDocument/2006/relationships/hyperlink" Target="https://bass.schul-welt.de/6043.htm#1-1p49" TargetMode="External"/><Relationship Id="rId18" Type="http://schemas.openxmlformats.org/officeDocument/2006/relationships/hyperlink" Target="https://bass.schul-welt.de/6043.htm#1-1p25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bass.schul-welt.de/6043.htm#1-1p25" TargetMode="External"/><Relationship Id="rId12" Type="http://schemas.openxmlformats.org/officeDocument/2006/relationships/hyperlink" Target="https://bass.schul-welt.de/6043.htm#1-1p48" TargetMode="External"/><Relationship Id="rId17" Type="http://schemas.openxmlformats.org/officeDocument/2006/relationships/hyperlink" Target="https://bass.schul-welt.de/6043.htm#1-1p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s.schul-welt.de/6043.htm#1-1p25" TargetMode="External"/><Relationship Id="rId20" Type="http://schemas.openxmlformats.org/officeDocument/2006/relationships/hyperlink" Target="https://bass.schul-welt.de/Stichwort/Ebene5?Ebene1=I&amp;Ebene2=IN&amp;Ebene3=Innovation&amp;Ebene4=mehr+Freir&#228;ume+f&#252;r+innovative+schulische+Vorhaben+-+Schulentwicklung&amp;f=1#pgfId-1062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3" TargetMode="External"/><Relationship Id="rId11" Type="http://schemas.openxmlformats.org/officeDocument/2006/relationships/hyperlink" Target="https://bass.schul-welt.de/6043.htm#1-1p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s.schul-welt.de/6043.htm#1-1p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s.schul-welt.de/6043.htm#1-1p25" TargetMode="External"/><Relationship Id="rId19" Type="http://schemas.openxmlformats.org/officeDocument/2006/relationships/hyperlink" Target="https://bass.schul-welt.de/6043.htm#1-1p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043.htm#1-1p25" TargetMode="External"/><Relationship Id="rId14" Type="http://schemas.openxmlformats.org/officeDocument/2006/relationships/hyperlink" Target="https://bass.schul-welt.de/6043.htm#1-1p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1813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2024-09-10T02:21:00Z</dcterms:created>
  <dcterms:modified xsi:type="dcterms:W3CDTF">2024-09-10T02:21:00Z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