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FCA20D" w14:textId="77777777" w:rsidR="00077A37" w:rsidRDefault="00077A37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814B949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FE1B600" w14:textId="77777777" w:rsidR="00077A37" w:rsidRDefault="00077A37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Verbindliche Einf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hrung von graphikf</w:t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higen Taschenrechnern</w:t>
            </w:r>
          </w:p>
          <w:p w14:paraId="610FD96B" w14:textId="77777777" w:rsidR="00077A37" w:rsidRDefault="00077A37">
            <w:pPr>
              <w:pStyle w:val="V-Normaltext"/>
              <w:widowControl/>
              <w:spacing w:before="10" w:after="50" w:line="200" w:lineRule="exact"/>
            </w:pPr>
            <w:r>
              <w:rPr>
                <w:rFonts w:cs="Calibri"/>
              </w:rPr>
              <w:t>Die Graphikf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higkeit von wissenschaftlichen Taschenrechnern bedeu-tet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Mathematik in der Sekundarstufe II eine erhebliche Erweiterung unterrichtlicher M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glichkeiten. Damit den Schulen ausreichend Zeit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Vorbereitung bleibt, wird der Einsatz entsprechender Ger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te erst ab dem Schuljahr 2014/15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gymnasiale Oberstufe und das Berufliche Gymnasium verbindlich. Die Fachaufsicht der Bezirksregierungen ber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t die Schulen hinsichtlich der Anschaffung sowie fachgerechten Nutzung der Ger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te und gibt Ausk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nfte zu Sozialprogrammen und Fortbildungsangeboten der Herstellerfirmen.</w:t>
            </w:r>
          </w:p>
        </w:tc>
      </w:tr>
    </w:tbl>
    <w:p w14:paraId="0E14F014" w14:textId="77777777" w:rsidR="00077A37" w:rsidRDefault="00077A37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02</w:t>
      </w:r>
    </w:p>
    <w:p w14:paraId="544AD87A" w14:textId="77777777" w:rsidR="00077A37" w:rsidRDefault="00077A37">
      <w:pPr>
        <w:pStyle w:val="V-Bass-dcber"/>
        <w:widowControl/>
        <w:spacing w:before="10" w:after="10"/>
        <w:rPr>
          <w:rFonts w:cs="Arial"/>
        </w:rPr>
      </w:pPr>
      <w:r>
        <w:t>Gebrauch</w:t>
      </w:r>
      <w:r>
        <w:br/>
        <w:t>von graphikf</w:t>
      </w:r>
      <w:r>
        <w:t>ä</w:t>
      </w:r>
      <w:r>
        <w:t>higen Taschenrechnern</w:t>
      </w:r>
      <w:r>
        <w:br/>
        <w:t>im Mathematikunterricht der gymnasialen Oberstufe</w:t>
      </w:r>
      <w:r>
        <w:br/>
        <w:t>und des Beruflichen Gymnasiums</w:t>
      </w:r>
    </w:p>
    <w:p w14:paraId="565F9669" w14:textId="77777777" w:rsidR="00077A37" w:rsidRDefault="00077A37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27. 6. 2012 </w:t>
      </w:r>
      <w:r>
        <w:rPr>
          <w:rFonts w:cs="Calibri"/>
        </w:rPr>
        <w:t>–</w:t>
      </w:r>
      <w:r>
        <w:rPr>
          <w:rFonts w:cs="Calibri"/>
        </w:rPr>
        <w:t xml:space="preserve"> 523-6.08.01-105571</w:t>
      </w:r>
    </w:p>
    <w:p w14:paraId="2C1A2F09" w14:textId="77777777" w:rsidR="00077A37" w:rsidRDefault="00077A37">
      <w:pPr>
        <w:pStyle w:val="V-Normaltext"/>
        <w:widowControl/>
      </w:pPr>
      <w:r>
        <w:rPr>
          <w:rFonts w:cs="Calibri"/>
        </w:rPr>
        <w:t xml:space="preserve">Die fachdidaktische Entwicklung in der Mathematik weist den so genannten </w:t>
      </w:r>
      <w:r>
        <w:rPr>
          <w:rFonts w:cs="Calibri"/>
        </w:rPr>
        <w:t>„</w:t>
      </w:r>
      <w:r>
        <w:rPr>
          <w:rFonts w:cs="Calibri"/>
        </w:rPr>
        <w:t>Werkzeugen</w:t>
      </w:r>
      <w:r>
        <w:rPr>
          <w:rFonts w:cs="Calibri"/>
        </w:rPr>
        <w:t>“</w:t>
      </w:r>
      <w:r>
        <w:rPr>
          <w:rFonts w:cs="Calibri"/>
        </w:rPr>
        <w:t xml:space="preserve"> eine immer gr</w:t>
      </w:r>
      <w:r>
        <w:rPr>
          <w:rFonts w:cs="Calibri"/>
        </w:rPr>
        <w:t>öß</w:t>
      </w:r>
      <w:r>
        <w:rPr>
          <w:rFonts w:cs="Calibri"/>
        </w:rPr>
        <w:t>ere Bedeutung vor allem in der Sekundarstufe II zu.</w:t>
      </w:r>
    </w:p>
    <w:p w14:paraId="038B2D89" w14:textId="77777777" w:rsidR="00077A37" w:rsidRDefault="00077A37">
      <w:pPr>
        <w:pStyle w:val="V-Normaltext"/>
        <w:widowControl/>
      </w:pPr>
      <w:r>
        <w:rPr>
          <w:rFonts w:cs="Calibri"/>
        </w:rPr>
        <w:t>Der Gebrauch von graphikf</w:t>
      </w:r>
      <w:r>
        <w:rPr>
          <w:rFonts w:cs="Calibri"/>
        </w:rPr>
        <w:t>ä</w:t>
      </w:r>
      <w:r>
        <w:rPr>
          <w:rFonts w:cs="Calibri"/>
        </w:rPr>
        <w:t>higen Taschenrechnern erlaubt nach fachdidaktischen Gesichtspunkten eine Entlastung von kalk</w:t>
      </w:r>
      <w:r>
        <w:rPr>
          <w:rFonts w:cs="Calibri"/>
        </w:rPr>
        <w:t>ü</w:t>
      </w:r>
      <w:r>
        <w:rPr>
          <w:rFonts w:cs="Calibri"/>
        </w:rPr>
        <w:t>lorientierten Routineberechnungen und eine schnelle Visualisierung von Graphen. Er erm</w:t>
      </w:r>
      <w:r>
        <w:rPr>
          <w:rFonts w:cs="Calibri"/>
        </w:rPr>
        <w:t>ö</w:t>
      </w:r>
      <w:r>
        <w:rPr>
          <w:rFonts w:cs="Calibri"/>
        </w:rPr>
        <w:t>glicht damit einen kreativen Umgang mit mathematischen Fragestellungen.</w:t>
      </w:r>
    </w:p>
    <w:p w14:paraId="0D5E9C44" w14:textId="77777777" w:rsidR="00077A37" w:rsidRDefault="00077A37">
      <w:pPr>
        <w:pStyle w:val="V-Normaltext"/>
        <w:widowControl/>
      </w:pPr>
      <w:r>
        <w:rPr>
          <w:rFonts w:cs="Calibri"/>
        </w:rPr>
        <w:t>Aus diesem Grund wird die Nutzung graphikf</w:t>
      </w:r>
      <w:r>
        <w:rPr>
          <w:rFonts w:cs="Calibri"/>
        </w:rPr>
        <w:t>ä</w:t>
      </w:r>
      <w:r>
        <w:rPr>
          <w:rFonts w:cs="Calibri"/>
        </w:rPr>
        <w:t>higer Taschenrechner (GTR) ab dem 1. August 2014 f</w:t>
      </w:r>
      <w:r>
        <w:rPr>
          <w:rFonts w:cs="Calibri"/>
        </w:rPr>
        <w:t>ü</w:t>
      </w:r>
      <w:r>
        <w:rPr>
          <w:rFonts w:cs="Calibri"/>
        </w:rPr>
        <w:t>r die gymnasiale Oberstufe und das Berufliche Gymnasium verbindlich. Im Zentralabitur werden die Mathematikaufgaben erstmals im Jahr 2017 dieses Hilfsmittel voraussetzen.</w:t>
      </w:r>
    </w:p>
    <w:p w14:paraId="019D98BA" w14:textId="77777777" w:rsidR="00077A37" w:rsidRDefault="00077A37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diejenigen Schulen, an denen ein Computer-Algebra-System (CAS) eingef</w:t>
      </w:r>
      <w:r>
        <w:rPr>
          <w:rFonts w:cs="Calibri"/>
        </w:rPr>
        <w:t>ü</w:t>
      </w:r>
      <w:r>
        <w:rPr>
          <w:rFonts w:cs="Calibri"/>
        </w:rPr>
        <w:t>hrt ist, wird dar</w:t>
      </w:r>
      <w:r>
        <w:rPr>
          <w:rFonts w:cs="Calibri"/>
        </w:rPr>
        <w:t>ü</w:t>
      </w:r>
      <w:r>
        <w:rPr>
          <w:rFonts w:cs="Calibri"/>
        </w:rPr>
        <w:t>ber hinaus weiterhin ein Satz von CAS-Aufgaben angeboten.</w:t>
      </w:r>
    </w:p>
    <w:p w14:paraId="15F8B7A4" w14:textId="77777777" w:rsidR="00077A37" w:rsidRDefault="00077A37">
      <w:pPr>
        <w:pStyle w:val="V-Normaltext"/>
        <w:widowControl/>
      </w:pPr>
      <w:r>
        <w:rPr>
          <w:rFonts w:cs="Calibri"/>
        </w:rPr>
        <w:t>Regelungen zur Gew</w:t>
      </w:r>
      <w:r>
        <w:rPr>
          <w:rFonts w:cs="Calibri"/>
        </w:rPr>
        <w:t>ä</w:t>
      </w:r>
      <w:r>
        <w:rPr>
          <w:rFonts w:cs="Calibri"/>
        </w:rPr>
        <w:t>hrung eines individuellen Nachteilsausgleichs werden hiervon nicht ber</w:t>
      </w:r>
      <w:r>
        <w:rPr>
          <w:rFonts w:cs="Calibri"/>
        </w:rPr>
        <w:t>ü</w:t>
      </w:r>
      <w:r>
        <w:rPr>
          <w:rFonts w:cs="Calibri"/>
        </w:rPr>
        <w:t>hrt.</w:t>
      </w:r>
    </w:p>
    <w:p w14:paraId="01A9DE88" w14:textId="77777777" w:rsidR="00077A37" w:rsidRDefault="00077A37">
      <w:pPr>
        <w:pStyle w:val="V-Normaltext"/>
        <w:widowControl/>
      </w:pPr>
      <w:r>
        <w:rPr>
          <w:rFonts w:cs="Calibri"/>
        </w:rPr>
        <w:t>Die Vertreterinnen und Vertreter der Fachaufsicht Mathematik bei den Bezirksregierungen stehen den betroffenen Schulen (Gymnasien, Gesamtschulen, Weiterbildungskollegs, Berufliche Gymnasien und Waldorfschulen) bei der Einf</w:t>
      </w:r>
      <w:r>
        <w:rPr>
          <w:rFonts w:cs="Calibri"/>
        </w:rPr>
        <w:t>ü</w:t>
      </w:r>
      <w:r>
        <w:rPr>
          <w:rFonts w:cs="Calibri"/>
        </w:rPr>
        <w:t>hrung mit Materialien, Ausk</w:t>
      </w:r>
      <w:r>
        <w:rPr>
          <w:rFonts w:cs="Calibri"/>
        </w:rPr>
        <w:t>ü</w:t>
      </w:r>
      <w:r>
        <w:rPr>
          <w:rFonts w:cs="Calibri"/>
        </w:rPr>
        <w:t>nften und Hinweisen zu Fortbildungsveranstaltungen beratend zur Seite.</w:t>
      </w:r>
    </w:p>
    <w:p w14:paraId="6CCABF1D" w14:textId="77777777" w:rsidR="00077A37" w:rsidRDefault="00077A37">
      <w:pPr>
        <w:pStyle w:val="V-Normaltext"/>
        <w:widowControl/>
        <w:rPr>
          <w:rFonts w:cs="Calibri"/>
        </w:rPr>
      </w:pPr>
    </w:p>
    <w:p w14:paraId="3912AA78" w14:textId="77777777" w:rsidR="00077A37" w:rsidRDefault="00077A37">
      <w:pPr>
        <w:pStyle w:val="V-Normaltext"/>
        <w:widowControl/>
        <w:jc w:val="right"/>
        <w:rPr>
          <w:rFonts w:cs="Calibri"/>
        </w:rPr>
      </w:pPr>
      <w:r>
        <w:t>ABl. NRW. 08/12 S. 432</w:t>
      </w:r>
    </w:p>
    <w:p w14:paraId="1C228CA5" w14:textId="77777777" w:rsidR="00077A37" w:rsidRDefault="00077A37">
      <w:pPr>
        <w:pStyle w:val="V-Normaltext"/>
        <w:widowControl/>
      </w:pPr>
    </w:p>
    <w:p w14:paraId="747A619E" w14:textId="77777777" w:rsidR="00077A37" w:rsidRDefault="00077A37">
      <w:pPr>
        <w:pStyle w:val="V-Normaltext"/>
        <w:widowControl/>
        <w:rPr>
          <w:rFonts w:cs="Calibri"/>
        </w:rPr>
      </w:pPr>
    </w:p>
    <w:p w14:paraId="15FFD5C6" w14:textId="77777777" w:rsidR="00077A37" w:rsidRDefault="00077A37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4DA953" w14:textId="77777777" w:rsidR="00077A37" w:rsidRDefault="00077A37">
      <w:r>
        <w:separator/>
      </w:r>
    </w:p>
  </w:endnote>
  <w:endnote w:type="continuationSeparator" w:id="0">
    <w:p w14:paraId="2BEDCA4B" w14:textId="77777777" w:rsidR="00077A37" w:rsidRDefault="00077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74AE23" w14:textId="77777777" w:rsidR="00077A37" w:rsidRDefault="00077A37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69540E" w14:textId="77777777" w:rsidR="00077A37" w:rsidRDefault="00077A3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E893C0B" w14:textId="77777777" w:rsidR="00077A37" w:rsidRDefault="00077A3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105B0"/>
    <w:rsid w:val="000105B0"/>
    <w:rsid w:val="00077A37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E55C3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2024-09-10T02:20:00Z</dcterms:created>
  <dcterms:modified xsi:type="dcterms:W3CDTF">2024-09-10T02:20:00Z</dcterms:modified>
</cp:coreProperties>
</file>