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DDA5" w14:textId="77777777" w:rsidR="001C4276" w:rsidRDefault="001C4276">
      <w:pPr>
        <w:pStyle w:val="Bass-Nr"/>
        <w:keepNext/>
      </w:pPr>
      <w:r>
        <w:rPr>
          <w:rFonts w:cs="Calibri"/>
        </w:rPr>
        <w:t>10-32 Nr. 33</w:t>
      </w:r>
    </w:p>
    <w:p w14:paraId="74AAF162" w14:textId="77777777" w:rsidR="001C4276" w:rsidRDefault="001C4276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Ü</w:t>
      </w:r>
      <w:r>
        <w:t xml:space="preserve">bertragung von Befugnissen </w:t>
      </w:r>
      <w:r>
        <w:br/>
      </w:r>
      <w:hyperlink r:id="rId7" w:history="1">
        <w:r>
          <w:t>nach den §§ 57 bis 59 der Landeshaushaltsordnung</w:t>
        </w:r>
      </w:hyperlink>
      <w:r>
        <w:rPr>
          <w:rFonts w:cs="Arial"/>
        </w:rPr>
        <w:br/>
      </w:r>
      <w:r>
        <w:t>im Gesch</w:t>
      </w:r>
      <w:r>
        <w:t>ä</w:t>
      </w:r>
      <w:r>
        <w:t xml:space="preserve">ftsbereich des </w:t>
      </w:r>
      <w:r>
        <w:br/>
        <w:t>f</w:t>
      </w:r>
      <w:r>
        <w:t>ü</w:t>
      </w:r>
      <w:r>
        <w:t>r Schule zust</w:t>
      </w:r>
      <w:r>
        <w:t>ä</w:t>
      </w:r>
      <w:r>
        <w:t xml:space="preserve">ndigen Ministeriums </w:t>
      </w:r>
      <w:r>
        <w:br/>
        <w:t>des Landes Nordrhein-Westfalen</w:t>
      </w:r>
    </w:p>
    <w:p w14:paraId="5CFB32C3" w14:textId="77777777" w:rsidR="001C4276" w:rsidRDefault="001C4276">
      <w:pPr>
        <w:pStyle w:val="RVueberschrift285nz"/>
        <w:keepNext/>
        <w:keepLines/>
        <w:rPr>
          <w:rFonts w:cs="Arial"/>
        </w:rPr>
      </w:pPr>
      <w:r>
        <w:t xml:space="preserve">Vom 11. Mai 2012 </w:t>
      </w:r>
      <w:r>
        <w:br/>
        <w:t>zuletzt ge</w:t>
      </w:r>
      <w:r>
        <w:t>ä</w:t>
      </w:r>
      <w:r>
        <w:t xml:space="preserve">ndert durch Verordnung vom 17. Mai 2014 </w:t>
      </w:r>
      <w:r>
        <w:br/>
        <w:t>(SGV. NRW. 631)</w:t>
      </w:r>
    </w:p>
    <w:p w14:paraId="2BD74DEA" w14:textId="77777777" w:rsidR="001C4276" w:rsidRDefault="001C4276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Auf Grund der </w:t>
      </w:r>
      <w:r>
        <w:rPr>
          <w:rFonts w:cs="Calibri"/>
        </w:rPr>
        <w:t>§§</w:t>
      </w:r>
      <w:r>
        <w:rPr>
          <w:rFonts w:cs="Calibri"/>
        </w:rPr>
        <w:t xml:space="preserve"> 57 Satz 2, 58 Absatz 1 Satz 2 und 59 Absatz 1 Satz 2 </w:t>
      </w:r>
      <w:hyperlink r:id="rId8" w:history="1">
        <w:r>
          <w:rPr>
            <w:rFonts w:cs="Calibri"/>
          </w:rPr>
          <w:t>der Landeshaushaltsordnung</w:t>
        </w:r>
      </w:hyperlink>
      <w:r>
        <w:t xml:space="preserve"> in der Fassung vom 26. April 1999 (GV. NRW. S. 158), zuletzt ge</w:t>
      </w:r>
      <w:r>
        <w:t>ä</w:t>
      </w:r>
      <w:r>
        <w:t>ndert durch Artikel 1 des Gesetzes vom 17. Dezember 2009 (GV. NRW. S. 950), wird - soweit erforderlich mit Einwilligung des Finanzministeriums - verordnet:</w:t>
      </w:r>
    </w:p>
    <w:p w14:paraId="7DD4D322" w14:textId="77777777" w:rsidR="001C4276" w:rsidRDefault="001C4276">
      <w:pPr>
        <w:pStyle w:val="RVueberschrift285fz"/>
        <w:keepNext/>
        <w:keepLines/>
        <w:rPr>
          <w:rFonts w:cs="Calibri"/>
        </w:rPr>
      </w:pPr>
      <w:bookmarkStart w:id="0" w:name="10-32nr33p1"/>
      <w:bookmarkEnd w:id="0"/>
      <w:r>
        <w:t>§</w:t>
      </w:r>
      <w:r>
        <w:t xml:space="preserve"> 1</w:t>
      </w:r>
    </w:p>
    <w:p w14:paraId="68B4CA57" w14:textId="77777777" w:rsidR="001C4276" w:rsidRDefault="001C4276">
      <w:pPr>
        <w:pStyle w:val="RVfliesstext175nb"/>
        <w:widowControl/>
      </w:pPr>
      <w:r>
        <w:t>Den nachstehend aufgef</w:t>
      </w:r>
      <w:r>
        <w:t>ü</w:t>
      </w:r>
      <w:r>
        <w:t>hrten Beh</w:t>
      </w:r>
      <w:r>
        <w:t>ö</w:t>
      </w:r>
      <w:r>
        <w:t>rden und Einrichtungen werden - soweit sie den Landeshaushalt f</w:t>
      </w:r>
      <w:r>
        <w:t>ü</w:t>
      </w:r>
      <w:r>
        <w:t>r den Gesch</w:t>
      </w:r>
      <w:r>
        <w:t>ä</w:t>
      </w:r>
      <w:r>
        <w:t>ftsbereich des f</w:t>
      </w:r>
      <w:r>
        <w:t>ü</w:t>
      </w:r>
      <w:r>
        <w:t>r Schule zust</w:t>
      </w:r>
      <w:r>
        <w:t>ä</w:t>
      </w:r>
      <w:r>
        <w:t>ndigen Ministeriums ausf</w:t>
      </w:r>
      <w:r>
        <w:t>ü</w:t>
      </w:r>
      <w:r>
        <w:t xml:space="preserve">hren - die Befugnisse </w:t>
      </w:r>
      <w:r>
        <w:t>ü</w:t>
      </w:r>
      <w:r>
        <w:t xml:space="preserve">bertragen, die nach </w:t>
      </w:r>
      <w:hyperlink r:id="rId9" w:history="1">
        <w:r>
          <w:t>den §§ 57 bis 59 Landeshaushaltsordnung</w:t>
        </w:r>
      </w:hyperlink>
      <w:r>
        <w:rPr>
          <w:rFonts w:cs="Calibri"/>
        </w:rPr>
        <w:t xml:space="preserve"> in Verbindung mit den Verwaltungsvorschriften zu den </w:t>
      </w:r>
      <w:r>
        <w:rPr>
          <w:rFonts w:cs="Calibri"/>
        </w:rPr>
        <w:t>§§</w:t>
      </w:r>
      <w:r>
        <w:rPr>
          <w:rFonts w:cs="Calibri"/>
        </w:rPr>
        <w:t xml:space="preserve"> 57 bis 59 Landeshaushaltsordnung bis zu den dort festgelegten H</w:t>
      </w:r>
      <w:r>
        <w:rPr>
          <w:rFonts w:cs="Calibri"/>
        </w:rPr>
        <w:t>ö</w:t>
      </w:r>
      <w:r>
        <w:rPr>
          <w:rFonts w:cs="Calibri"/>
        </w:rPr>
        <w:t xml:space="preserve">chstgrenzen einer Einwilligung des Finanzministeriums </w:t>
      </w:r>
      <w:r>
        <w:rPr>
          <w:i/>
        </w:rPr>
        <w:t>(jetzt: Ministerium der Finanzen)</w:t>
      </w:r>
      <w:r>
        <w:rPr>
          <w:rFonts w:cs="Calibri"/>
        </w:rPr>
        <w:t xml:space="preserve"> nicht bed</w:t>
      </w:r>
      <w:r>
        <w:rPr>
          <w:rFonts w:cs="Calibri"/>
        </w:rPr>
        <w:t>ü</w:t>
      </w:r>
      <w:r>
        <w:rPr>
          <w:rFonts w:cs="Calibri"/>
        </w:rPr>
        <w:t>rfen:</w:t>
      </w:r>
    </w:p>
    <w:p w14:paraId="7AC369B5" w14:textId="77777777" w:rsidR="001C4276" w:rsidRDefault="001C4276">
      <w:pPr>
        <w:pStyle w:val="RVfliesstext175nb"/>
        <w:widowControl/>
      </w:pPr>
      <w:r>
        <w:rPr>
          <w:rFonts w:cs="Calibri"/>
        </w:rPr>
        <w:t>1. den Bezirksregierungen, auch f</w:t>
      </w:r>
      <w:r>
        <w:rPr>
          <w:rFonts w:cs="Calibri"/>
        </w:rPr>
        <w:t>ü</w:t>
      </w:r>
      <w:r>
        <w:rPr>
          <w:rFonts w:cs="Calibri"/>
        </w:rPr>
        <w:t>r die ihnen nachgeordneten Beh</w:t>
      </w:r>
      <w:r>
        <w:rPr>
          <w:rFonts w:cs="Calibri"/>
        </w:rPr>
        <w:t>ö</w:t>
      </w:r>
      <w:r>
        <w:rPr>
          <w:rFonts w:cs="Calibri"/>
        </w:rPr>
        <w:t>rden und Einrichtungen im Gesch</w:t>
      </w:r>
      <w:r>
        <w:rPr>
          <w:rFonts w:cs="Calibri"/>
        </w:rPr>
        <w:t>ä</w:t>
      </w:r>
      <w:r>
        <w:rPr>
          <w:rFonts w:cs="Calibri"/>
        </w:rPr>
        <w:t>ftsbereich des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Ministeriums des Landes Nordrhein-Westfalen,</w:t>
      </w:r>
    </w:p>
    <w:p w14:paraId="35BB397E" w14:textId="77777777" w:rsidR="001C4276" w:rsidRDefault="001C4276">
      <w:pPr>
        <w:pStyle w:val="RVfliesstext175nb"/>
        <w:widowControl/>
      </w:pPr>
      <w:r>
        <w:rPr>
          <w:rFonts w:cs="Calibri"/>
        </w:rPr>
        <w:t>2.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Schule, Soest</w:t>
      </w:r>
    </w:p>
    <w:p w14:paraId="6A99709C" w14:textId="77777777" w:rsidR="001C4276" w:rsidRDefault="001C4276">
      <w:pPr>
        <w:pStyle w:val="RVfliesstext175nb"/>
        <w:widowControl/>
      </w:pPr>
      <w:r>
        <w:rPr>
          <w:rFonts w:cs="Calibri"/>
        </w:rPr>
        <w:t>3. dem 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Schulen, Dortmund</w:t>
      </w:r>
    </w:p>
    <w:p w14:paraId="1B8208B6" w14:textId="77777777" w:rsidR="001C4276" w:rsidRDefault="001C4276">
      <w:pPr>
        <w:pStyle w:val="RVfliesstext175nb"/>
        <w:widowControl/>
      </w:pPr>
      <w:r>
        <w:rPr>
          <w:rFonts w:cs="Calibri"/>
        </w:rPr>
        <w:t>4. dem Landesamt f</w:t>
      </w:r>
      <w:r>
        <w:rPr>
          <w:rFonts w:cs="Calibri"/>
        </w:rPr>
        <w:t>ü</w:t>
      </w:r>
      <w:r>
        <w:rPr>
          <w:rFonts w:cs="Calibri"/>
        </w:rPr>
        <w:t>r Besoldung und Versorgung des Landes Nordrhein-Westfalen, soweit f</w:t>
      </w:r>
      <w:r>
        <w:rPr>
          <w:rFonts w:cs="Calibri"/>
        </w:rPr>
        <w:t>ü</w:t>
      </w:r>
      <w:r>
        <w:rPr>
          <w:rFonts w:cs="Calibri"/>
        </w:rPr>
        <w:t>r die Besoldungs- und Verg</w:t>
      </w:r>
      <w:r>
        <w:rPr>
          <w:rFonts w:cs="Calibri"/>
        </w:rPr>
        <w:t>ü</w:t>
      </w:r>
      <w:r>
        <w:rPr>
          <w:rFonts w:cs="Calibri"/>
        </w:rPr>
        <w:t>tungsf</w:t>
      </w:r>
      <w:r>
        <w:rPr>
          <w:rFonts w:cs="Calibri"/>
        </w:rPr>
        <w:t>ä</w:t>
      </w:r>
      <w:r>
        <w:rPr>
          <w:rFonts w:cs="Calibri"/>
        </w:rPr>
        <w:t>lle im Gesch</w:t>
      </w:r>
      <w:r>
        <w:rPr>
          <w:rFonts w:cs="Calibri"/>
        </w:rPr>
        <w:t>ä</w:t>
      </w:r>
      <w:r>
        <w:rPr>
          <w:rFonts w:cs="Calibri"/>
        </w:rPr>
        <w:t>ftsbereich des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Ministeriums des Landes Nordrhein-Westfalen zust</w:t>
      </w:r>
      <w:r>
        <w:rPr>
          <w:rFonts w:cs="Calibri"/>
        </w:rPr>
        <w:t>ä</w:t>
      </w:r>
      <w:r>
        <w:rPr>
          <w:rFonts w:cs="Calibri"/>
        </w:rPr>
        <w:t>ndig und</w:t>
      </w:r>
    </w:p>
    <w:p w14:paraId="6694E124" w14:textId="77777777" w:rsidR="001C4276" w:rsidRDefault="001C4276">
      <w:pPr>
        <w:pStyle w:val="RVfliesstext175nb"/>
        <w:widowControl/>
      </w:pPr>
      <w:r>
        <w:rPr>
          <w:rFonts w:cs="Calibri"/>
        </w:rPr>
        <w:t>5. der Staatlichen Zentralstelle f</w:t>
      </w:r>
      <w:r>
        <w:rPr>
          <w:rFonts w:cs="Calibri"/>
        </w:rPr>
        <w:t>ü</w:t>
      </w:r>
      <w:r>
        <w:rPr>
          <w:rFonts w:cs="Calibri"/>
        </w:rPr>
        <w:t>r Fernunterricht, K</w:t>
      </w:r>
      <w:r>
        <w:rPr>
          <w:rFonts w:cs="Calibri"/>
        </w:rPr>
        <w:t>ö</w:t>
      </w:r>
      <w:r>
        <w:rPr>
          <w:rFonts w:cs="Calibri"/>
        </w:rPr>
        <w:t xml:space="preserve">ln </w:t>
      </w:r>
      <w:r>
        <w:rPr>
          <w:i/>
        </w:rPr>
        <w:t>(jetzt im Gesch</w:t>
      </w:r>
      <w:r>
        <w:rPr>
          <w:i/>
        </w:rPr>
        <w:t>ä</w:t>
      </w:r>
      <w:r>
        <w:rPr>
          <w:i/>
        </w:rPr>
        <w:t>ftsbereich des Ministeriums f</w:t>
      </w:r>
      <w:r>
        <w:rPr>
          <w:i/>
        </w:rPr>
        <w:t>ü</w:t>
      </w:r>
      <w:r>
        <w:rPr>
          <w:i/>
        </w:rPr>
        <w:t>r Kultur und Wissenschaft)</w:t>
      </w:r>
      <w:r>
        <w:rPr>
          <w:rFonts w:cs="Calibri"/>
        </w:rPr>
        <w:t>.</w:t>
      </w:r>
    </w:p>
    <w:p w14:paraId="788E16AA" w14:textId="77777777" w:rsidR="001C4276" w:rsidRDefault="001C4276">
      <w:pPr>
        <w:pStyle w:val="RVueberschrift285fz"/>
        <w:keepNext/>
        <w:keepLines/>
      </w:pPr>
      <w:bookmarkStart w:id="1" w:name="10-32nr33p2"/>
      <w:bookmarkEnd w:id="1"/>
      <w:r>
        <w:rPr>
          <w:rFonts w:cs="Calibri"/>
        </w:rPr>
        <w:t>§</w:t>
      </w:r>
      <w:r>
        <w:rPr>
          <w:rFonts w:cs="Calibri"/>
        </w:rPr>
        <w:t xml:space="preserve"> 2</w:t>
      </w:r>
    </w:p>
    <w:p w14:paraId="7E0869DF" w14:textId="77777777" w:rsidR="001C4276" w:rsidRDefault="001C4276">
      <w:pPr>
        <w:pStyle w:val="RVfliesstext175nb"/>
        <w:widowControl/>
        <w:rPr>
          <w:rFonts w:cs="Calibri"/>
        </w:rPr>
      </w:pPr>
      <w:r>
        <w:rPr>
          <w:rFonts w:cs="Calibri"/>
        </w:rPr>
        <w:t>Den f</w:t>
      </w:r>
      <w:r>
        <w:rPr>
          <w:rFonts w:cs="Calibri"/>
        </w:rPr>
        <w:t>ü</w:t>
      </w:r>
      <w:r>
        <w:rPr>
          <w:rFonts w:cs="Calibri"/>
        </w:rPr>
        <w:t>r Ausbildungsf</w:t>
      </w:r>
      <w:r>
        <w:rPr>
          <w:rFonts w:cs="Calibri"/>
        </w:rPr>
        <w:t>ö</w:t>
      </w:r>
      <w:r>
        <w:rPr>
          <w:rFonts w:cs="Calibri"/>
        </w:rPr>
        <w:t>rderung zust</w:t>
      </w:r>
      <w:r>
        <w:rPr>
          <w:rFonts w:cs="Calibri"/>
        </w:rPr>
        <w:t>ä</w:t>
      </w:r>
      <w:r>
        <w:rPr>
          <w:rFonts w:cs="Calibri"/>
        </w:rPr>
        <w:t>ndigen Stellen bei den Kreisen und kreisfreien St</w:t>
      </w:r>
      <w:r>
        <w:rPr>
          <w:rFonts w:cs="Calibri"/>
        </w:rPr>
        <w:t>ä</w:t>
      </w:r>
      <w:r>
        <w:rPr>
          <w:rFonts w:cs="Calibri"/>
        </w:rPr>
        <w:t>dten wird als Sonderregelung gem</w:t>
      </w:r>
      <w:r>
        <w:rPr>
          <w:rFonts w:cs="Calibri"/>
        </w:rPr>
        <w:t>äß</w:t>
      </w:r>
      <w:r>
        <w:rPr>
          <w:rFonts w:cs="Calibri"/>
        </w:rPr>
        <w:t xml:space="preserve"> Nummer 4 der Verwal</w:t>
      </w:r>
      <w:hyperlink r:id="rId10" w:history="1">
        <w:r>
          <w:rPr>
            <w:rFonts w:cs="Calibri"/>
          </w:rPr>
          <w:t>tungsvorschriften zu § 58 der Landeshaushaltsordnung</w:t>
        </w:r>
      </w:hyperlink>
      <w:r>
        <w:t xml:space="preserve"> und Nummern 1.11, 2.8 und 3.11 der Verwaltungsvorschriften zu </w:t>
      </w:r>
      <w:r>
        <w:t>§</w:t>
      </w:r>
      <w:r>
        <w:t xml:space="preserve"> 59 der Landeshaushaltsordnung die Befugnis </w:t>
      </w:r>
      <w:r>
        <w:t>ü</w:t>
      </w:r>
      <w:r>
        <w:t>bertragen,</w:t>
      </w:r>
    </w:p>
    <w:p w14:paraId="23D2826E" w14:textId="77777777" w:rsidR="001C4276" w:rsidRDefault="001C4276">
      <w:pPr>
        <w:pStyle w:val="RVfliesstext175nb"/>
        <w:widowControl/>
      </w:pPr>
      <w:hyperlink r:id="rId11" w:history="1">
        <w:r>
          <w:rPr>
            <w:rFonts w:cs="Calibri"/>
          </w:rPr>
          <w:t>1. Vergleiche gemäß § 58 Absatz 1 Satz 1 Nummer 2 der Landeshaus</w:t>
        </w:r>
      </w:hyperlink>
      <w:r>
        <w:t>haltsordnung</w:t>
      </w:r>
      <w:r>
        <w:rPr>
          <w:rFonts w:cs="Calibri"/>
        </w:rPr>
        <w:t xml:space="preserve"> abzuschlie</w:t>
      </w:r>
      <w:r>
        <w:rPr>
          <w:rFonts w:cs="Calibri"/>
        </w:rPr>
        <w:t>ß</w:t>
      </w:r>
      <w:r>
        <w:rPr>
          <w:rFonts w:cs="Calibri"/>
        </w:rPr>
        <w:t>en oder die Zustimmung zu gerichtlichen oder au</w:t>
      </w:r>
      <w:r>
        <w:rPr>
          <w:rFonts w:cs="Calibri"/>
        </w:rPr>
        <w:t>ß</w:t>
      </w:r>
      <w:r>
        <w:rPr>
          <w:rFonts w:cs="Calibri"/>
        </w:rPr>
        <w:t xml:space="preserve">ergerichtlichen Schuldenbereinigungen nach dem Neunten Teil der Insolvenzordnung zu erteilen, soweit ein Gesamtbetrag von 50.000 Euro im Einzelfall nicht </w:t>
      </w:r>
      <w:r>
        <w:rPr>
          <w:rFonts w:cs="Calibri"/>
        </w:rPr>
        <w:t>ü</w:t>
      </w:r>
      <w:r>
        <w:rPr>
          <w:rFonts w:cs="Calibri"/>
        </w:rPr>
        <w:t>berschritten wird,</w:t>
      </w:r>
    </w:p>
    <w:p w14:paraId="5DE27786" w14:textId="77777777" w:rsidR="001C4276" w:rsidRDefault="001C4276">
      <w:pPr>
        <w:pStyle w:val="RVfliesstext175nb"/>
        <w:widowControl/>
      </w:pPr>
      <w:hyperlink r:id="rId12" w:history="1">
        <w:r>
          <w:t>2. Ansprüche gemäß § 59 Absatz 1 Satz 1 Nummer 1 der Landeshaus</w:t>
        </w:r>
      </w:hyperlink>
      <w:r>
        <w:rPr>
          <w:rFonts w:cs="Calibri"/>
        </w:rPr>
        <w:t>haltsordnung</w:t>
      </w:r>
    </w:p>
    <w:p w14:paraId="5410270C" w14:textId="77777777" w:rsidR="001C4276" w:rsidRDefault="001C4276">
      <w:pPr>
        <w:pStyle w:val="RVfliesstext175nb"/>
        <w:widowControl/>
      </w:pPr>
      <w:r>
        <w:rPr>
          <w:rFonts w:cs="Calibri"/>
        </w:rPr>
        <w:t>a) bei Betr</w:t>
      </w:r>
      <w:r>
        <w:rPr>
          <w:rFonts w:cs="Calibri"/>
        </w:rPr>
        <w:t>ä</w:t>
      </w:r>
      <w:r>
        <w:rPr>
          <w:rFonts w:cs="Calibri"/>
        </w:rPr>
        <w:t>gen bis zu 50.000 Euro mit einer Dauer bis zu 18 Monaten,</w:t>
      </w:r>
    </w:p>
    <w:p w14:paraId="0AB6C942" w14:textId="77777777" w:rsidR="001C4276" w:rsidRDefault="001C4276">
      <w:pPr>
        <w:pStyle w:val="RVfliesstext175nb"/>
        <w:widowControl/>
      </w:pPr>
      <w:r>
        <w:rPr>
          <w:rFonts w:cs="Calibri"/>
        </w:rPr>
        <w:t>b) bei Betr</w:t>
      </w:r>
      <w:r>
        <w:rPr>
          <w:rFonts w:cs="Calibri"/>
        </w:rPr>
        <w:t>ä</w:t>
      </w:r>
      <w:r>
        <w:rPr>
          <w:rFonts w:cs="Calibri"/>
        </w:rPr>
        <w:t>gen bis zu 40.000 Euro mit einer Dauer bis zu drei Jahren zu stunden.</w:t>
      </w:r>
    </w:p>
    <w:p w14:paraId="2153B0E9" w14:textId="77777777" w:rsidR="001C4276" w:rsidRDefault="001C4276">
      <w:pPr>
        <w:pStyle w:val="RVfliesstext175nb"/>
        <w:widowControl/>
      </w:pPr>
      <w:hyperlink r:id="rId13" w:history="1">
        <w:r>
          <w:t>3. Ansprüche gemäß § 59 Absatz 1 Satz 1 Nummer 2 der Landeshaus</w:t>
        </w:r>
      </w:hyperlink>
      <w:r>
        <w:rPr>
          <w:rFonts w:cs="Calibri"/>
        </w:rPr>
        <w:t>haltsordnung</w:t>
      </w:r>
    </w:p>
    <w:p w14:paraId="22B69C82" w14:textId="77777777" w:rsidR="001C4276" w:rsidRDefault="001C4276">
      <w:pPr>
        <w:pStyle w:val="RVfliesstext175nb"/>
        <w:widowControl/>
      </w:pPr>
      <w:r>
        <w:rPr>
          <w:rFonts w:cs="Calibri"/>
        </w:rPr>
        <w:t>a) bei Betr</w:t>
      </w:r>
      <w:r>
        <w:rPr>
          <w:rFonts w:cs="Calibri"/>
        </w:rPr>
        <w:t>ä</w:t>
      </w:r>
      <w:r>
        <w:rPr>
          <w:rFonts w:cs="Calibri"/>
        </w:rPr>
        <w:t>gen bis zu 35.000 Euro befristet,</w:t>
      </w:r>
    </w:p>
    <w:p w14:paraId="529EF41A" w14:textId="77777777" w:rsidR="001C4276" w:rsidRDefault="001C4276">
      <w:pPr>
        <w:pStyle w:val="RVfliesstext175nb"/>
        <w:widowControl/>
      </w:pPr>
      <w:r>
        <w:rPr>
          <w:rFonts w:cs="Calibri"/>
        </w:rPr>
        <w:t>b) bei Betr</w:t>
      </w:r>
      <w:r>
        <w:rPr>
          <w:rFonts w:cs="Calibri"/>
        </w:rPr>
        <w:t>ä</w:t>
      </w:r>
      <w:r>
        <w:rPr>
          <w:rFonts w:cs="Calibri"/>
        </w:rPr>
        <w:t xml:space="preserve">gen bis zu 20.000 Euro unbefristet niederzuschlagen und </w:t>
      </w:r>
    </w:p>
    <w:p w14:paraId="37077139" w14:textId="77777777" w:rsidR="001C4276" w:rsidRDefault="001C4276">
      <w:pPr>
        <w:pStyle w:val="RVfliesstext175nb"/>
        <w:widowControl/>
        <w:rPr>
          <w:rFonts w:cs="Calibri"/>
        </w:rPr>
      </w:pPr>
      <w:hyperlink r:id="rId14" w:history="1">
        <w:r>
          <w:t>4. Ansprüche gemäß § 59 Absatz 1 Satz 1 Nummer 3 der Landeshaus</w:t>
        </w:r>
      </w:hyperlink>
      <w:r>
        <w:rPr>
          <w:rFonts w:cs="Calibri"/>
        </w:rPr>
        <w:t>haltsordnung</w:t>
      </w:r>
      <w:r>
        <w:t xml:space="preserve"> bei Betr</w:t>
      </w:r>
      <w:r>
        <w:t>ä</w:t>
      </w:r>
      <w:r>
        <w:t>gen bis zu 10.000 Euro zu erlassen.</w:t>
      </w:r>
    </w:p>
    <w:p w14:paraId="338F6123" w14:textId="77777777" w:rsidR="001C4276" w:rsidRDefault="001C4276">
      <w:pPr>
        <w:pStyle w:val="RVfliesstext175nb"/>
        <w:widowControl/>
        <w:rPr>
          <w:rFonts w:cs="Calibri"/>
        </w:rPr>
      </w:pPr>
      <w:r>
        <w:t>Die Nummern 1 bis 4 gelten nicht in F</w:t>
      </w:r>
      <w:r>
        <w:t>ä</w:t>
      </w:r>
      <w:r>
        <w:t>llen von grunds</w:t>
      </w:r>
      <w:r>
        <w:t>ä</w:t>
      </w:r>
      <w:r>
        <w:t>tzlicher Bedeutung.</w:t>
      </w:r>
    </w:p>
    <w:p w14:paraId="1E8E55DB" w14:textId="77777777" w:rsidR="001C4276" w:rsidRDefault="001C4276">
      <w:pPr>
        <w:pStyle w:val="RVueberschrift285fz"/>
        <w:keepNext/>
        <w:keepLines/>
        <w:rPr>
          <w:rFonts w:cs="Calibri"/>
        </w:rPr>
      </w:pPr>
      <w:bookmarkStart w:id="2" w:name="10-32nr33p3"/>
      <w:bookmarkEnd w:id="2"/>
      <w:r>
        <w:t>§</w:t>
      </w:r>
      <w:r>
        <w:t xml:space="preserve"> 3</w:t>
      </w:r>
    </w:p>
    <w:p w14:paraId="558079BD" w14:textId="77777777" w:rsidR="001C4276" w:rsidRDefault="001C4276">
      <w:pPr>
        <w:pStyle w:val="RVfliesstext175nb"/>
        <w:widowControl/>
      </w:pPr>
      <w:r>
        <w:t>(</w:t>
      </w:r>
      <w:r>
        <w:rPr>
          <w:rFonts w:cs="Calibri"/>
        </w:rPr>
        <w:t>1</w:t>
      </w:r>
      <w:r>
        <w:t>)</w:t>
      </w:r>
      <w:r>
        <w:rPr>
          <w:rFonts w:cs="Calibri"/>
        </w:rPr>
        <w:t xml:space="preserve"> Diese Verordnung tritt am Tage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t>.</w:t>
      </w:r>
      <w:r>
        <w:rPr>
          <w:rStyle w:val="FootnoteReference"/>
          <w:rFonts w:ascii="Arial" w:hAnsi="Arial" w:cs="Calibri"/>
        </w:rPr>
        <w:footnoteReference w:id="1"/>
      </w:r>
      <w:hyperlink w:anchor="fn1" w:history="1">
        <w:r>
          <w:rPr>
            <w:rStyle w:val="Hyperlink"/>
            <w:rFonts w:ascii="Arial" w:hAnsi="Arial" w:cs="Calibri"/>
            <w:sz w:val="17"/>
            <w:vertAlign w:val="superscript"/>
          </w:rPr>
          <w:t>fn1</w:t>
        </w:r>
      </w:hyperlink>
    </w:p>
    <w:p w14:paraId="3CCB36EE" w14:textId="77777777" w:rsidR="001C4276" w:rsidRDefault="001C4276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(2) </w:t>
      </w:r>
      <w:r>
        <w:rPr>
          <w:i/>
        </w:rPr>
        <w:t>gegenstandslos</w:t>
      </w:r>
    </w:p>
    <w:p w14:paraId="5B07182F" w14:textId="77777777" w:rsidR="001C4276" w:rsidRDefault="001C4276">
      <w:pPr>
        <w:pStyle w:val="RVfliesstext175nb"/>
        <w:widowControl/>
      </w:pPr>
    </w:p>
    <w:sectPr w:rsidR="00000000">
      <w:footerReference w:type="even" r:id="rId15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9CFE" w14:textId="77777777" w:rsidR="001C4276" w:rsidRDefault="001C4276">
      <w:pPr>
        <w:widowControl/>
        <w:rPr>
          <w:rFonts w:cs="Calibri"/>
        </w:rPr>
      </w:pPr>
      <w:r>
        <w:separator/>
      </w:r>
    </w:p>
  </w:endnote>
  <w:endnote w:type="continuationSeparator" w:id="0">
    <w:p w14:paraId="07868A0A" w14:textId="77777777" w:rsidR="001C4276" w:rsidRDefault="001C4276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3AD4" w14:textId="77777777" w:rsidR="001C4276" w:rsidRDefault="001C4276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7D18" w14:textId="77777777" w:rsidR="001C4276" w:rsidRDefault="001C427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942B7BE" w14:textId="77777777" w:rsidR="001C4276" w:rsidRDefault="001C4276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291309D5" w14:textId="77777777" w:rsidR="001C4276" w:rsidRDefault="001C4276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Das Datum bezieht sich auf die Verordnung in der urspr</w:t>
      </w:r>
      <w:r>
        <w:rPr>
          <w:rFonts w:cs="Calibri"/>
        </w:rPr>
        <w:t>ü</w:t>
      </w:r>
      <w:r>
        <w:rPr>
          <w:rFonts w:cs="Calibri"/>
        </w:rPr>
        <w:t>nglichen Fassung</w:t>
      </w:r>
      <w:r>
        <w:t>;</w:t>
      </w:r>
      <w:r>
        <w:rPr>
          <w:rFonts w:cs="Calibri"/>
        </w:rPr>
        <w:t xml:space="preserve"> die letzte </w:t>
      </w:r>
      <w:bookmarkStart w:id="3" w:name="fn1"/>
      <w:r>
        <w:t>Ä</w:t>
      </w:r>
      <w:r>
        <w:t>nderung ist mit 7</w:t>
      </w:r>
      <w:r>
        <w:rPr>
          <w:rFonts w:cs="Calibri"/>
        </w:rPr>
        <w:t>.</w:t>
      </w:r>
      <w:r>
        <w:t xml:space="preserve"> Juni 2014 in Kraft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307</w:t>
      </w:r>
      <w:r>
        <w:rPr>
          <w:rFonts w:cs="Calibri"/>
        </w:rPr>
        <w:t>)</w:t>
      </w:r>
      <w:r>
        <w:t>.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6432"/>
    <w:rsid w:val="001C4276"/>
    <w:rsid w:val="00A339FA"/>
    <w:rsid w:val="00D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4F43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920031009101837119" TargetMode="External"/><Relationship Id="rId13" Type="http://schemas.openxmlformats.org/officeDocument/2006/relationships/hyperlink" Target="https://recht.nrw.de/lmi/owa/br_text_anzeigen?v_id=3920031009101837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920031009101837119" TargetMode="External"/><Relationship Id="rId12" Type="http://schemas.openxmlformats.org/officeDocument/2006/relationships/hyperlink" Target="https://recht.nrw.de/lmi/owa/br_text_anzeigen?v_id=39200310091018371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39200310091018371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cht.nrw.de/lmi/owa/br_text_anzeigen?v_id=3920031009101837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3920031009101837119" TargetMode="External"/><Relationship Id="rId14" Type="http://schemas.openxmlformats.org/officeDocument/2006/relationships/hyperlink" Target="https://recht.nrw.de/lmi/owa/br_text_anzeigen?v_id=3920031009101837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2024-09-10T02:20:00Z</dcterms:created>
  <dcterms:modified xsi:type="dcterms:W3CDTF">2024-09-10T02:20:00Z</dcterms:modified>
</cp:coreProperties>
</file>