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AED70" w14:textId="77777777" w:rsidR="008F6ED8" w:rsidRDefault="008F6ED8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62A0E7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3F3B4EF" w14:textId="77777777" w:rsidR="008F6ED8" w:rsidRDefault="008F6ED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Finanzieller Ausgleich von Vorgriffsstunden bei Teilzeitbesch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ftigung</w:t>
            </w:r>
          </w:p>
          <w:p w14:paraId="47710718" w14:textId="77777777" w:rsidR="008F6ED8" w:rsidRDefault="008F6ED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entspricht der aktuellen Rechtsprechung des Oberverwaltungsgerichts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Land Nordrhein-Westfalen. Nach der Neuregelung bestimmt sich die 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he der Ausgleichszahlung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Lehrerinnen und Lehrer, die im Zeitraum der Vorgriffsstundenleistung teilzeitbesch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ftigt waren, 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nftig nach der zeitanteiligen Besoldung oder dem zeitanteiligen Entgelt. </w:t>
            </w:r>
          </w:p>
        </w:tc>
      </w:tr>
    </w:tbl>
    <w:p w14:paraId="267ACB65" w14:textId="77777777" w:rsidR="008F6ED8" w:rsidRDefault="008F6ED8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5.1</w:t>
      </w:r>
    </w:p>
    <w:p w14:paraId="4FD9B071" w14:textId="77777777" w:rsidR="008F6ED8" w:rsidRDefault="008F6ED8">
      <w:pPr>
        <w:pStyle w:val="V-Bass-dcber"/>
        <w:widowControl/>
        <w:spacing w:before="10" w:after="10"/>
        <w:rPr>
          <w:rFonts w:cs="Arial"/>
        </w:rPr>
      </w:pPr>
      <w:r>
        <w:t>R</w:t>
      </w:r>
      <w:r>
        <w:t>ü</w:t>
      </w:r>
      <w:r>
        <w:t>ckgabe der Vorgriffsstunde</w:t>
      </w:r>
      <w:r>
        <w:br/>
        <w:t>und finanzieller Ausgleich von Vorgriffsstunden</w:t>
      </w:r>
      <w:r>
        <w:br/>
        <w:t>nach der Ausgleichszahlungsverordnung</w:t>
      </w:r>
      <w:r>
        <w:br/>
        <w:t>Vorgriffsstunde;</w:t>
      </w:r>
      <w:r>
        <w:br/>
      </w:r>
      <w:r>
        <w:t>Ä</w:t>
      </w:r>
      <w:r>
        <w:t xml:space="preserve">nderung </w:t>
      </w:r>
    </w:p>
    <w:p w14:paraId="6D52B537" w14:textId="77777777" w:rsidR="008F6ED8" w:rsidRDefault="008F6ED8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26. 4. 2012 </w:t>
      </w:r>
      <w:r>
        <w:t>–</w:t>
      </w:r>
      <w:r>
        <w:t xml:space="preserve"> 225-2.02.02.02/93-104446/12</w:t>
      </w:r>
    </w:p>
    <w:p w14:paraId="18FEFAD7" w14:textId="77777777" w:rsidR="008F6ED8" w:rsidRDefault="008F6ED8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11. 10. 2007 (</w:t>
      </w:r>
      <w:r>
        <w:rPr>
          <w:rFonts w:cs="Calibri"/>
        </w:rPr>
        <w:t xml:space="preserve">BASS 11 </w:t>
      </w:r>
      <w:r>
        <w:rPr>
          <w:rFonts w:cs="Calibri"/>
        </w:rPr>
        <w:t>–</w:t>
      </w:r>
      <w:r>
        <w:rPr>
          <w:rFonts w:cs="Calibri"/>
        </w:rPr>
        <w:t xml:space="preserve"> 11 Nr. 5.1)</w:t>
      </w:r>
    </w:p>
    <w:p w14:paraId="08E9C753" w14:textId="77777777" w:rsidR="008F6ED8" w:rsidRDefault="008F6ED8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B907DFE" w14:textId="77777777" w:rsidR="008F6ED8" w:rsidRDefault="008F6ED8">
      <w:pPr>
        <w:pStyle w:val="V-Normaltext"/>
        <w:widowControl/>
      </w:pPr>
      <w:r>
        <w:rPr>
          <w:rFonts w:cs="Calibri"/>
        </w:rPr>
        <w:t>Dem Abschnitt II. Nummer 2 wird folgender Satz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13E2DA6" w14:textId="77777777" w:rsidR="008F6ED8" w:rsidRDefault="008F6ED8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Vor dem Hintergrund des europarechtlichen Gebots der Entgeltgleichheit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 Nummer 1 und Nummer 2 des Anhangs der Richtlinie 97/81/EG bestimmt sich die H</w:t>
      </w:r>
      <w:r>
        <w:rPr>
          <w:rFonts w:cs="Calibri"/>
        </w:rPr>
        <w:t>ö</w:t>
      </w:r>
      <w:r>
        <w:rPr>
          <w:rFonts w:cs="Calibri"/>
        </w:rPr>
        <w:t>he der Ausgleichszahlung nach der zeitanteiligen Besoldung oder nach dem zeitanteiligen Entgelt, soweit Lehrerinnen und Lehrer im Zeitraum der Leistung der Vorgriffsstunde teilzeitbesch</w:t>
      </w:r>
      <w:r>
        <w:rPr>
          <w:rFonts w:cs="Calibri"/>
        </w:rPr>
        <w:t>ä</w:t>
      </w:r>
      <w:r>
        <w:rPr>
          <w:rFonts w:cs="Calibri"/>
        </w:rPr>
        <w:t>ftigt waren.</w:t>
      </w:r>
      <w:r>
        <w:rPr>
          <w:rFonts w:cs="Calibri"/>
        </w:rPr>
        <w:t>“</w:t>
      </w:r>
    </w:p>
    <w:p w14:paraId="096A11E0" w14:textId="77777777" w:rsidR="008F6ED8" w:rsidRDefault="008F6ED8">
      <w:pPr>
        <w:pStyle w:val="V-Normaltext"/>
        <w:widowControl/>
        <w:rPr>
          <w:rFonts w:cs="Calibri"/>
        </w:rPr>
      </w:pPr>
    </w:p>
    <w:p w14:paraId="453C6650" w14:textId="77777777" w:rsidR="008F6ED8" w:rsidRDefault="008F6ED8">
      <w:pPr>
        <w:pStyle w:val="V-Normaltext"/>
        <w:widowControl/>
        <w:jc w:val="right"/>
        <w:rPr>
          <w:rFonts w:cs="Calibri"/>
        </w:rPr>
      </w:pPr>
      <w:r>
        <w:t>ABl. NRW. 06/12 S. 326</w:t>
      </w:r>
    </w:p>
    <w:p w14:paraId="392DDDC9" w14:textId="77777777" w:rsidR="008F6ED8" w:rsidRDefault="008F6ED8">
      <w:pPr>
        <w:pStyle w:val="V-Normaltext"/>
        <w:widowControl/>
      </w:pPr>
    </w:p>
    <w:p w14:paraId="2FA22FE1" w14:textId="77777777" w:rsidR="008F6ED8" w:rsidRDefault="008F6ED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5261DD" w14:textId="77777777" w:rsidR="008F6ED8" w:rsidRDefault="008F6ED8">
      <w:r>
        <w:separator/>
      </w:r>
    </w:p>
  </w:endnote>
  <w:endnote w:type="continuationSeparator" w:id="0">
    <w:p w14:paraId="4572A336" w14:textId="77777777" w:rsidR="008F6ED8" w:rsidRDefault="008F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05D85" w14:textId="77777777" w:rsidR="008F6ED8" w:rsidRDefault="008F6ED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A68DA" w14:textId="77777777" w:rsidR="008F6ED8" w:rsidRDefault="008F6E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F048E9E" w14:textId="77777777" w:rsidR="008F6ED8" w:rsidRDefault="008F6E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F25DC"/>
    <w:rsid w:val="001F25DC"/>
    <w:rsid w:val="008F6ED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9ABDF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