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43D1E" w14:textId="77777777" w:rsidR="00CB7BFE" w:rsidRDefault="00CB7BFE">
      <w:pPr>
        <w:pStyle w:val="Bass-Nr"/>
        <w:keepNext/>
      </w:pPr>
      <w:r>
        <w:rPr>
          <w:rFonts w:cs="Calibri"/>
        </w:rPr>
        <w:t>11-04 Nr. 1</w:t>
      </w:r>
    </w:p>
    <w:p w14:paraId="2A096A10" w14:textId="77777777" w:rsidR="00CB7BFE" w:rsidRDefault="00CB7BFE">
      <w:pPr>
        <w:pStyle w:val="RVueberschrift1100fz"/>
        <w:keepNext/>
        <w:keepLines/>
      </w:pPr>
      <w:bookmarkStart w:id="0" w:name="11-04nr1"/>
      <w:bookmarkEnd w:id="0"/>
      <w:r>
        <w:t xml:space="preserve">Erstattung </w:t>
      </w:r>
      <w:r>
        <w:rPr>
          <w:rFonts w:cs="Arial"/>
        </w:rPr>
        <w:br/>
        <w:t>der Sch</w:t>
      </w:r>
      <w:r>
        <w:rPr>
          <w:rFonts w:cs="Arial"/>
        </w:rPr>
        <w:t>ü</w:t>
      </w:r>
      <w:r>
        <w:rPr>
          <w:rFonts w:cs="Arial"/>
        </w:rPr>
        <w:t xml:space="preserve">lerfahrkosten </w:t>
      </w:r>
      <w:r>
        <w:rPr>
          <w:rFonts w:cs="Arial"/>
        </w:rPr>
        <w:br/>
        <w:t>und der Kosten f</w:t>
      </w:r>
      <w:r>
        <w:rPr>
          <w:rFonts w:cs="Arial"/>
        </w:rPr>
        <w:t>ü</w:t>
      </w:r>
      <w:r>
        <w:rPr>
          <w:rFonts w:cs="Arial"/>
        </w:rPr>
        <w:t xml:space="preserve">r Lernmittel </w:t>
      </w:r>
      <w:r>
        <w:rPr>
          <w:rFonts w:cs="Arial"/>
        </w:rPr>
        <w:br/>
        <w:t>an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 xml:space="preserve">ler, </w:t>
      </w:r>
      <w:r>
        <w:rPr>
          <w:rFonts w:cs="Arial"/>
        </w:rPr>
        <w:br/>
        <w:t>die Schulen au</w:t>
      </w:r>
      <w:r>
        <w:rPr>
          <w:rFonts w:cs="Arial"/>
        </w:rPr>
        <w:t>ß</w:t>
      </w:r>
      <w:r>
        <w:rPr>
          <w:rFonts w:cs="Arial"/>
        </w:rPr>
        <w:t xml:space="preserve">erhalb Nordrhein-Westfalens </w:t>
      </w:r>
      <w:r>
        <w:rPr>
          <w:rFonts w:cs="Arial"/>
        </w:rPr>
        <w:br/>
        <w:t>besuchen (sog. Pendler)</w:t>
      </w:r>
    </w:p>
    <w:p w14:paraId="4636AA33" w14:textId="77777777" w:rsidR="00CB7BFE" w:rsidRDefault="00CB7BFE">
      <w:pPr>
        <w:pStyle w:val="RVueberschrift285nz"/>
        <w:keepNext/>
        <w:keepLines/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Kultusministeriums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29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1971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586</w:t>
      </w:r>
      <w: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3A2C3DD2" w14:textId="77777777" w:rsidR="00CB7BFE" w:rsidRDefault="00CB7BFE">
      <w:pPr>
        <w:pStyle w:val="RVueberschrift285fz"/>
        <w:keepNext/>
        <w:keepLines/>
        <w:rPr>
          <w:rFonts w:cs="Calibri"/>
        </w:rPr>
      </w:pPr>
      <w:r>
        <w:t>1 Allgemeines</w:t>
      </w:r>
    </w:p>
    <w:p w14:paraId="4E4C6C38" w14:textId="77777777" w:rsidR="00CB7BFE" w:rsidRDefault="00CB7BFE">
      <w:pPr>
        <w:pStyle w:val="RVfliesstext175nb"/>
        <w:widowControl/>
      </w:pPr>
      <w:r>
        <w:t>1.1 Das Land Nordrhein-Westfalen tr</w:t>
      </w:r>
      <w:r>
        <w:t>ä</w:t>
      </w:r>
      <w:r>
        <w:t>gt f</w:t>
      </w:r>
      <w:r>
        <w:t>ü</w:t>
      </w:r>
      <w:r>
        <w:t>r Sch</w:t>
      </w:r>
      <w:r>
        <w:t>ü</w:t>
      </w:r>
      <w:r>
        <w:t>lerinnen und</w:t>
      </w:r>
      <w:r>
        <w:rPr>
          <w:rFonts w:cs="Calibri"/>
        </w:rPr>
        <w:t xml:space="preserve"> Sch</w:t>
      </w:r>
      <w:r>
        <w:rPr>
          <w:rFonts w:cs="Calibri"/>
        </w:rPr>
        <w:t>ü</w:t>
      </w:r>
      <w:r>
        <w:rPr>
          <w:rFonts w:cs="Calibri"/>
        </w:rPr>
        <w:t>ler, die ihren Wohnsitz in Nordrhein-Westfalen haben und von dort aus t</w:t>
      </w:r>
      <w:r>
        <w:rPr>
          <w:rFonts w:cs="Calibri"/>
        </w:rPr>
        <w:t>ä</w:t>
      </w:r>
      <w:r>
        <w:rPr>
          <w:rFonts w:cs="Calibri"/>
        </w:rPr>
        <w:t xml:space="preserve">glich </w:t>
      </w:r>
      <w:r>
        <w:rPr>
          <w:rFonts w:cs="Calibri"/>
        </w:rPr>
        <w:t>ö</w:t>
      </w:r>
      <w:r>
        <w:rPr>
          <w:rFonts w:cs="Calibri"/>
        </w:rPr>
        <w:t xml:space="preserve">ffentliche Schulen oder private Ersatzschulen im Sinne des </w:t>
      </w:r>
      <w:hyperlink w:anchor="https://bass.schul-welt.de/6043.htm#1-1p6(3)" w:history="1">
        <w:r>
          <w:rPr>
            <w:rFonts w:cs="Calibri"/>
          </w:rPr>
          <w:t xml:space="preserve">§ 6 Absatz 3 </w:t>
        </w:r>
      </w:hyperlink>
      <w:r>
        <w:t xml:space="preserve">und 4 Schulgesetz NRW </w:t>
      </w:r>
      <w:r>
        <w:rPr>
          <w:rFonts w:cs="Calibri"/>
        </w:rPr>
        <w:t xml:space="preserve">(SchulG - BASS 1-1) und des </w:t>
      </w:r>
      <w:hyperlink w:anchor="https://bass.schul-welt.de/6043.htm#1-1p101" w:history="1">
        <w:r>
          <w:rPr>
            <w:rFonts w:cs="Calibri"/>
          </w:rPr>
          <w:t>§ 101 SchulG</w:t>
        </w:r>
      </w:hyperlink>
      <w:r>
        <w:rPr>
          <w:rStyle w:val="link"/>
        </w:rPr>
        <w:t xml:space="preserve"> </w:t>
      </w:r>
      <w:r>
        <w:rPr>
          <w:rFonts w:cs="Calibri"/>
        </w:rPr>
        <w:t>in einem Nachbarland besuchen, die notwendigen Sch</w:t>
      </w:r>
      <w:r>
        <w:rPr>
          <w:rFonts w:cs="Calibri"/>
        </w:rPr>
        <w:t>ü</w:t>
      </w:r>
      <w:r>
        <w:rPr>
          <w:rFonts w:cs="Calibri"/>
        </w:rPr>
        <w:t>lerfahrkosten und die Kosten f</w:t>
      </w:r>
      <w:r>
        <w:rPr>
          <w:rFonts w:cs="Calibri"/>
        </w:rPr>
        <w:t>ü</w:t>
      </w:r>
      <w:r>
        <w:rPr>
          <w:rFonts w:cs="Calibri"/>
        </w:rPr>
        <w:t>r die Beschaffung der notwendigen Lernmittel. F</w:t>
      </w:r>
      <w:r>
        <w:rPr>
          <w:rFonts w:cs="Calibri"/>
        </w:rPr>
        <w:t>ü</w:t>
      </w:r>
      <w:r>
        <w:rPr>
          <w:rFonts w:cs="Calibri"/>
        </w:rPr>
        <w:t>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 mit Bedarf an sonderp</w:t>
      </w:r>
      <w:r>
        <w:rPr>
          <w:rFonts w:cs="Calibri"/>
        </w:rPr>
        <w:t>ä</w:t>
      </w:r>
      <w:r>
        <w:rPr>
          <w:rFonts w:cs="Calibri"/>
        </w:rPr>
        <w:t>dagogischer Unterst</w:t>
      </w:r>
      <w:r>
        <w:rPr>
          <w:rFonts w:cs="Calibri"/>
        </w:rPr>
        <w:t>ü</w:t>
      </w:r>
      <w:r>
        <w:rPr>
          <w:rFonts w:cs="Calibri"/>
        </w:rPr>
        <w:t>tzung gilt dies auch, wenn eine Schule im benachbarten Ausland besucht wird und innerhalb der Landesgrenzen eine geeignete und zumutbar erreichbare Beschulungsm</w:t>
      </w:r>
      <w:r>
        <w:rPr>
          <w:rFonts w:cs="Calibri"/>
        </w:rPr>
        <w:t>ö</w:t>
      </w:r>
      <w:r>
        <w:rPr>
          <w:rFonts w:cs="Calibri"/>
        </w:rPr>
        <w:t>glichkeit nicht vorhanden ist.</w:t>
      </w:r>
    </w:p>
    <w:p w14:paraId="64E06C65" w14:textId="77777777" w:rsidR="00CB7BFE" w:rsidRDefault="00CB7BFE">
      <w:pPr>
        <w:pStyle w:val="RVfliesstext175nb"/>
        <w:widowControl/>
      </w:pPr>
      <w:r>
        <w:rPr>
          <w:rFonts w:cs="Calibri"/>
        </w:rPr>
        <w:t>1.2 Kostenerstattung kann nur denjenigen Sch</w:t>
      </w:r>
      <w:r>
        <w:rPr>
          <w:rFonts w:cs="Calibri"/>
        </w:rPr>
        <w:t>ü</w:t>
      </w:r>
      <w:r>
        <w:rPr>
          <w:rFonts w:cs="Calibri"/>
        </w:rPr>
        <w:t>lerinnen und</w:t>
      </w:r>
      <w:r>
        <w:t xml:space="preserve"> Sch</w:t>
      </w:r>
      <w:r>
        <w:t>ü</w:t>
      </w:r>
      <w:r>
        <w:t>lern gew</w:t>
      </w:r>
      <w:r>
        <w:t>ä</w:t>
      </w:r>
      <w:r>
        <w:t>hrt werden, die eine in einem benachbarten Land gelegene Schule besuchen, wenn diese Schule die n</w:t>
      </w:r>
      <w:r>
        <w:t>ä</w:t>
      </w:r>
      <w:r>
        <w:t>chstgelegene Schule gem</w:t>
      </w:r>
      <w:r>
        <w:t>äß</w:t>
      </w:r>
      <w:r>
        <w:t xml:space="preserve"> </w:t>
      </w:r>
      <w:r>
        <w:t>§</w:t>
      </w:r>
      <w:r>
        <w:t xml:space="preserve"> 9 der Sch</w:t>
      </w:r>
      <w:r>
        <w:t>ü</w:t>
      </w:r>
      <w:r>
        <w:t xml:space="preserve">lerfahrkostenverordnung </w:t>
      </w:r>
      <w:hyperlink w:anchor="https://bass.schul-welt.de/6216.htm#11-04nr3.1p9" w:history="1">
        <w:r>
          <w:t xml:space="preserve">(SchfkVO </w:t>
        </w:r>
      </w:hyperlink>
      <w:r>
        <w:rPr>
          <w:rFonts w:cs="Calibri"/>
        </w:rPr>
        <w:t>- BASS 11-04 Nr. 3.1) ist und ihnen im Nachbarland keine Sch</w:t>
      </w:r>
      <w:r>
        <w:rPr>
          <w:rFonts w:cs="Calibri"/>
        </w:rPr>
        <w:t>ü</w:t>
      </w:r>
      <w:r>
        <w:rPr>
          <w:rFonts w:cs="Calibri"/>
        </w:rPr>
        <w:t>lerfahrkostenerstattung oder Lernmittelfreiheit gew</w:t>
      </w:r>
      <w:r>
        <w:rPr>
          <w:rFonts w:cs="Calibri"/>
        </w:rPr>
        <w:t>ä</w:t>
      </w:r>
      <w:r>
        <w:rPr>
          <w:rFonts w:cs="Calibri"/>
        </w:rPr>
        <w:t>hrt wird.</w:t>
      </w:r>
    </w:p>
    <w:p w14:paraId="10AB468C" w14:textId="77777777" w:rsidR="00CB7BFE" w:rsidRDefault="00CB7BFE">
      <w:pPr>
        <w:pStyle w:val="RVfliesstext175nb"/>
        <w:widowControl/>
        <w:rPr>
          <w:rFonts w:cs="Calibri"/>
        </w:rPr>
      </w:pPr>
      <w:r>
        <w:rPr>
          <w:rFonts w:cs="Calibri"/>
        </w:rPr>
        <w:t>1.3 Die Gemeinden, in denen die berechtigten Sch</w:t>
      </w:r>
      <w:r>
        <w:rPr>
          <w:rFonts w:cs="Calibri"/>
        </w:rPr>
        <w:t>ü</w:t>
      </w:r>
      <w:r>
        <w:rPr>
          <w:rFonts w:cs="Calibri"/>
        </w:rPr>
        <w:t>lerinnen und</w:t>
      </w:r>
      <w:r>
        <w:t xml:space="preserve"> Sch</w:t>
      </w:r>
      <w:r>
        <w:t>ü</w:t>
      </w:r>
      <w:r>
        <w:t>ler ihren Wohnsitz haben, werden gebeten, die nach Ma</w:t>
      </w:r>
      <w:r>
        <w:t>ß</w:t>
      </w:r>
      <w:r>
        <w:t>gabe dieses Runderlasses zu zahlenden Betr</w:t>
      </w:r>
      <w:r>
        <w:t>ä</w:t>
      </w:r>
      <w:r>
        <w:t>ge vorzuleisten. Das Land erstattet die vorgeleisteten Betr</w:t>
      </w:r>
      <w:r>
        <w:t>ä</w:t>
      </w:r>
      <w:r>
        <w:t>ge in voller H</w:t>
      </w:r>
      <w:r>
        <w:t>ö</w:t>
      </w:r>
      <w:r>
        <w:t>he.</w:t>
      </w:r>
    </w:p>
    <w:p w14:paraId="15BE12E6" w14:textId="77777777" w:rsidR="00CB7BFE" w:rsidRDefault="00CB7BFE">
      <w:pPr>
        <w:pStyle w:val="RVueberschrift285fz"/>
        <w:keepNext/>
        <w:keepLines/>
        <w:rPr>
          <w:rFonts w:cs="Calibri"/>
        </w:rPr>
      </w:pPr>
      <w:r>
        <w:t>2 Sch</w:t>
      </w:r>
      <w:r>
        <w:t>ü</w:t>
      </w:r>
      <w:r>
        <w:t>lerfahrkosten</w:t>
      </w:r>
    </w:p>
    <w:p w14:paraId="37E7B136" w14:textId="77777777" w:rsidR="00CB7BFE" w:rsidRDefault="00CB7BFE">
      <w:pPr>
        <w:pStyle w:val="RVfliesstext175nb"/>
        <w:widowControl/>
      </w:pPr>
      <w:r>
        <w:t>2.1 F</w:t>
      </w:r>
      <w:r>
        <w:t>ü</w:t>
      </w:r>
      <w:r>
        <w:t>r die Erstattung der Sch</w:t>
      </w:r>
      <w:r>
        <w:t>ü</w:t>
      </w:r>
      <w:r>
        <w:t xml:space="preserve">lerfahrkosten gilt die </w:t>
      </w:r>
      <w:hyperlink w:anchor="https://bass.schul-welt.de/6216.htm#11-04nr3.1" w:history="1">
        <w:r>
          <w:t>SchfkVO</w:t>
        </w:r>
      </w:hyperlink>
      <w:r>
        <w:rPr>
          <w:rFonts w:cs="Calibri"/>
        </w:rPr>
        <w:t xml:space="preserve"> entsprechend. An die Stelle des Schultr</w:t>
      </w:r>
      <w:r>
        <w:rPr>
          <w:rFonts w:cs="Calibri"/>
        </w:rPr>
        <w:t>ä</w:t>
      </w:r>
      <w:r>
        <w:rPr>
          <w:rFonts w:cs="Calibri"/>
        </w:rPr>
        <w:t>gers tritt die Wohnsitzgemeinde.</w:t>
      </w:r>
    </w:p>
    <w:p w14:paraId="4E862C2C" w14:textId="77777777" w:rsidR="00CB7BFE" w:rsidRDefault="00CB7BFE">
      <w:pPr>
        <w:pStyle w:val="RVfliesstext175nb"/>
        <w:widowControl/>
      </w:pPr>
      <w:r>
        <w:rPr>
          <w:rFonts w:cs="Calibri"/>
        </w:rPr>
        <w:t>2.2 Fahrkostenerstattung wird nur auf Antrag gew</w:t>
      </w:r>
      <w:r>
        <w:rPr>
          <w:rFonts w:cs="Calibri"/>
        </w:rPr>
        <w:t>ä</w:t>
      </w:r>
      <w:r>
        <w:rPr>
          <w:rFonts w:cs="Calibri"/>
        </w:rPr>
        <w:t>hrt. Der Antrag ist bei der Wohnsitzgemeinde zu stellen. F</w:t>
      </w:r>
      <w:r>
        <w:rPr>
          <w:rFonts w:cs="Calibri"/>
        </w:rPr>
        <w:t>ü</w:t>
      </w:r>
      <w:r>
        <w:rPr>
          <w:rFonts w:cs="Calibri"/>
        </w:rPr>
        <w:t xml:space="preserve">r den Antrag wird beiliegendes Muster </w:t>
      </w:r>
      <w:r>
        <w:t>(</w:t>
      </w:r>
      <w:hyperlink w:anchor="Anlage1" w:history="1">
        <w:r>
          <w:t>Anlage 1</w:t>
        </w:r>
      </w:hyperlink>
      <w:r>
        <w:rPr>
          <w:rFonts w:cs="Calibri"/>
        </w:rPr>
        <w:t>) empfohlen.</w:t>
      </w:r>
    </w:p>
    <w:p w14:paraId="0C597FBC" w14:textId="77777777" w:rsidR="00CB7BFE" w:rsidRDefault="00CB7BFE">
      <w:pPr>
        <w:pStyle w:val="RVueberschrift285fz"/>
        <w:keepNext/>
        <w:keepLines/>
      </w:pPr>
      <w:r>
        <w:rPr>
          <w:rFonts w:cs="Calibri"/>
        </w:rPr>
        <w:t>3 Lernmittelfreiheit</w:t>
      </w:r>
    </w:p>
    <w:p w14:paraId="60860A6A" w14:textId="77777777" w:rsidR="00CB7BFE" w:rsidRDefault="00CB7BFE">
      <w:pPr>
        <w:pStyle w:val="RVfliesstext175nb"/>
        <w:widowControl/>
        <w:rPr>
          <w:rFonts w:cs="Calibri"/>
        </w:rPr>
      </w:pPr>
      <w:r>
        <w:rPr>
          <w:rFonts w:cs="Calibri"/>
        </w:rPr>
        <w:t>Kostenerstattung wird nur auf Antrag gew</w:t>
      </w:r>
      <w:r>
        <w:rPr>
          <w:rFonts w:cs="Calibri"/>
        </w:rPr>
        <w:t>ä</w:t>
      </w:r>
      <w:r>
        <w:rPr>
          <w:rFonts w:cs="Calibri"/>
        </w:rPr>
        <w:t>hrt. Der Antrag ist bei der Wohnsitzgemeinde zu stellen. F</w:t>
      </w:r>
      <w:r>
        <w:rPr>
          <w:rFonts w:cs="Calibri"/>
        </w:rPr>
        <w:t>ü</w:t>
      </w:r>
      <w:r>
        <w:rPr>
          <w:rFonts w:cs="Calibri"/>
        </w:rPr>
        <w:t>r den Antrag wird beiliegendes Muster (</w:t>
      </w:r>
      <w:hyperlink w:anchor="Anlage2_Seite1" w:history="1">
        <w:r>
          <w:rPr>
            <w:rFonts w:cs="Calibri"/>
          </w:rPr>
          <w:t>Anlage 2</w:t>
        </w:r>
      </w:hyperlink>
      <w:r>
        <w:t>) empfohlen. Dem Antrag ist eine von der besuchten Schule best</w:t>
      </w:r>
      <w:r>
        <w:t>ä</w:t>
      </w:r>
      <w:r>
        <w:t>tigte Aufstellung der erworbenen Schulb</w:t>
      </w:r>
      <w:r>
        <w:t>ü</w:t>
      </w:r>
      <w:r>
        <w:t>cher mit Preisangabe beizuf</w:t>
      </w:r>
      <w:r>
        <w:t>ü</w:t>
      </w:r>
      <w:r>
        <w:t>gen.</w:t>
      </w:r>
    </w:p>
    <w:p w14:paraId="114A6A6A" w14:textId="77777777" w:rsidR="00CB7BFE" w:rsidRDefault="00CB7BFE">
      <w:pPr>
        <w:pStyle w:val="RVueberschrift285fz"/>
        <w:keepNext/>
        <w:keepLines/>
        <w:rPr>
          <w:rFonts w:cs="Calibri"/>
        </w:rPr>
      </w:pPr>
      <w:r>
        <w:t>4 Verfahren</w:t>
      </w:r>
    </w:p>
    <w:p w14:paraId="6EE1192E" w14:textId="77777777" w:rsidR="00CB7BFE" w:rsidRDefault="00CB7BFE">
      <w:pPr>
        <w:pStyle w:val="RVfliesstext175nb"/>
        <w:widowControl/>
        <w:rPr>
          <w:rFonts w:cs="Calibri"/>
        </w:rPr>
      </w:pPr>
      <w:r>
        <w:t>4.1 Die Wohnsitzgemeinde stellt den erstattungsf</w:t>
      </w:r>
      <w:r>
        <w:t>ä</w:t>
      </w:r>
      <w:r>
        <w:t>higen Betrag fest und zahlt diesen Betrag an die Empfangsberechtigte oder den Empfangsberechtigten.</w:t>
      </w:r>
    </w:p>
    <w:p w14:paraId="4C8FEE26" w14:textId="77777777" w:rsidR="00CB7BFE" w:rsidRDefault="00CB7BFE">
      <w:pPr>
        <w:pStyle w:val="RVfliesstext175nb"/>
        <w:widowControl/>
      </w:pPr>
      <w:r>
        <w:t>4</w:t>
      </w:r>
      <w:r>
        <w:rPr>
          <w:rFonts w:cs="Calibri"/>
        </w:rPr>
        <w:t>.</w:t>
      </w:r>
      <w:r>
        <w:t>2 Die Wohnsitzgemeinde legt eine Ablichtung oder Durchschrift des festgestellten Erstattungsantrages mit Zahlungsbest</w:t>
      </w:r>
      <w:r>
        <w:t>ä</w:t>
      </w:r>
      <w:r>
        <w:t>tigung der zust</w:t>
      </w:r>
      <w:r>
        <w:t>ä</w:t>
      </w:r>
      <w:r>
        <w:t>ndigen Bezirksregierung vor</w:t>
      </w:r>
      <w:r>
        <w:rPr>
          <w:rFonts w:cs="Calibri"/>
        </w:rPr>
        <w:t>;</w:t>
      </w:r>
      <w:r>
        <w:t xml:space="preserve"> die Bezirksregierung </w:t>
      </w:r>
      <w:r>
        <w:t>ü</w:t>
      </w:r>
      <w:r>
        <w:t>berweist der Wohnsitzgemeinde den von ihr verausgabten Betrag</w:t>
      </w:r>
      <w:r>
        <w:rPr>
          <w:rFonts w:cs="Calibri"/>
        </w:rPr>
        <w:t>.</w:t>
      </w:r>
      <w:r>
        <w:t xml:space="preserve"> Die Vorpr</w:t>
      </w:r>
      <w:r>
        <w:t>ü</w:t>
      </w:r>
      <w:r>
        <w:t xml:space="preserve">fung der von der Wohnsitzgemeinde beim Land zur Erstattung angeforderten Aufwendungen richtet sich nach </w:t>
      </w:r>
      <w:r>
        <w:rPr>
          <w:rFonts w:cs="Calibri"/>
        </w:rPr>
        <w:t>§</w:t>
      </w:r>
      <w:r>
        <w:t xml:space="preserve"> 100 Absatz 4 </w:t>
      </w:r>
      <w:hyperlink r:id="rId7" w:history="1">
        <w:r>
          <w:t>LHO</w:t>
        </w:r>
      </w:hyperlink>
      <w:r>
        <w:rPr>
          <w:rStyle w:val="FootnoteReference"/>
          <w:rFonts w:ascii="Arial" w:hAnsi="Arial" w:cs="Calibri"/>
        </w:rPr>
        <w:footnoteReference w:id="2"/>
      </w:r>
      <w:r>
        <w:rPr>
          <w:rFonts w:cs="Calibri"/>
        </w:rPr>
        <w:t>.</w:t>
      </w:r>
    </w:p>
    <w:p w14:paraId="48B00C22" w14:textId="77777777" w:rsidR="00CB7BFE" w:rsidRDefault="00CB7BFE">
      <w:pPr>
        <w:pStyle w:val="RVfliesstext175nb"/>
        <w:widowControl/>
      </w:pPr>
      <w:r>
        <w:rPr>
          <w:rFonts w:cs="Calibri"/>
        </w:rPr>
        <w:t>4.3 Den Bezirksregierungen werden die erforderlichen Haushaltsmittel durch besonderen Erlass - hinsichtlich der Sch</w:t>
      </w:r>
      <w:r>
        <w:rPr>
          <w:rFonts w:cs="Calibri"/>
        </w:rPr>
        <w:t>ü</w:t>
      </w:r>
      <w:r>
        <w:rPr>
          <w:rFonts w:cs="Calibri"/>
        </w:rPr>
        <w:t>lerfahrkosten auf Anforderung - zur Bewirtschaftung zugewiesen.</w:t>
      </w:r>
    </w:p>
    <w:p w14:paraId="24CE5682" w14:textId="77777777" w:rsidR="00CB7BFE" w:rsidRDefault="00CB7BFE">
      <w:pPr>
        <w:pStyle w:val="RVfliesstext175nb"/>
        <w:widowControl/>
      </w:pPr>
      <w:r>
        <w:rPr>
          <w:rFonts w:cs="Calibri"/>
        </w:rPr>
        <w:t xml:space="preserve">Dieser Erlass ergeht im Einvernehmen mit dem Innenministerium </w:t>
      </w:r>
      <w:r>
        <w:rPr>
          <w:i/>
        </w:rPr>
        <w:t>(jetzt: Ministerium des Innern)</w:t>
      </w:r>
      <w:r>
        <w:rPr>
          <w:rFonts w:cs="Calibri"/>
        </w:rPr>
        <w:t xml:space="preserve"> und dem Finanzministerium </w:t>
      </w:r>
      <w:r>
        <w:rPr>
          <w:i/>
        </w:rPr>
        <w:t>(jetzt: Ministerium der Finanzen)</w:t>
      </w:r>
      <w:r>
        <w:rPr>
          <w:rFonts w:cs="Calibri"/>
        </w:rPr>
        <w:t xml:space="preserve"> des Landes Nordrhein-Westfalen.</w:t>
      </w:r>
    </w:p>
    <w:p w14:paraId="1AD9911F" w14:textId="77777777" w:rsidR="00CB7BFE" w:rsidRDefault="00CB7BFE">
      <w:pPr>
        <w:pStyle w:val="RVAnlagenabstandleer75"/>
        <w:rPr>
          <w:rFonts w:cs="Calibri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67C4D110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10836" w14:textId="77777777" w:rsidR="00CB7BFE" w:rsidRDefault="00CB7BFE">
            <w:pPr>
              <w:pStyle w:val="RVredhinweis"/>
            </w:pPr>
            <w:r>
              <w:rPr>
                <w:rFonts w:cs="Arial"/>
              </w:rPr>
              <w:t>Nachfolgend finden Sie die Anlagen zum Runderlass:</w:t>
            </w:r>
          </w:p>
        </w:tc>
      </w:tr>
    </w:tbl>
    <w:p w14:paraId="04953DAA" w14:textId="77777777" w:rsidR="00CB7BFE" w:rsidRDefault="00CB7BFE">
      <w:pPr>
        <w:pStyle w:val="RVtabelle75fr"/>
        <w:keepLines/>
        <w:widowControl/>
        <w:tabs>
          <w:tab w:val="clear" w:pos="720"/>
        </w:tabs>
        <w:spacing w:before="10" w:after="10" w:line="160" w:lineRule="atLeast"/>
        <w:rPr>
          <w:rFonts w:cs="Calibri"/>
        </w:rPr>
      </w:pPr>
      <w:bookmarkStart w:id="2" w:name="Anlage1"/>
      <w:r>
        <w:t xml:space="preserve">Anlage 1 </w:t>
      </w:r>
      <w:bookmarkEnd w:id="2"/>
      <w:r>
        <w:rPr>
          <w:rFonts w:cs="Calibri"/>
          <w:b w:val="0"/>
        </w:rPr>
        <w:t>- Seite 1 -</w:t>
      </w:r>
      <w:r>
        <w:rPr>
          <w:noProof/>
        </w:rPr>
        <w:drawing>
          <wp:inline distT="0" distB="0" distL="0" distR="0" wp14:anchorId="0D985CEE" wp14:editId="2931DD0C">
            <wp:extent cx="3095625" cy="4429125"/>
            <wp:effectExtent l="0" t="0" r="0" b="0"/>
            <wp:docPr id="1" name="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" t="4831" r="7333" b="6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56FB" w14:textId="77777777" w:rsidR="00CB7BFE" w:rsidRDefault="00CB7BFE">
      <w:pPr>
        <w:pStyle w:val="RVAnlagenabstandleer75"/>
      </w:pPr>
    </w:p>
    <w:p w14:paraId="6CF4CC2C" w14:textId="77777777" w:rsidR="00CB7BFE" w:rsidRDefault="00CB7BF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rPr>
          <w:rFonts w:cs="Calibri"/>
        </w:rPr>
        <w:t xml:space="preserve">Anlage 1 </w:t>
      </w:r>
      <w:r>
        <w:rPr>
          <w:b w:val="0"/>
        </w:rPr>
        <w:t>- Seite 2 -</w:t>
      </w:r>
      <w:r>
        <w:rPr>
          <w:rFonts w:cs="Calibri"/>
          <w:noProof/>
        </w:rPr>
        <w:drawing>
          <wp:inline distT="0" distB="0" distL="0" distR="0" wp14:anchorId="78F9CCE1" wp14:editId="2235C46F">
            <wp:extent cx="3095625" cy="4429125"/>
            <wp:effectExtent l="0" t="0" r="0" b="0"/>
            <wp:docPr id="2" name="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4" t="5424" r="4445" b="5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9B0E5" w14:textId="77777777" w:rsidR="00CB7BFE" w:rsidRDefault="00CB7BFE">
      <w:pPr>
        <w:pStyle w:val="RVtabellenanker"/>
        <w:widowControl/>
        <w:rPr>
          <w:rFonts w:cs="Calibri"/>
        </w:rPr>
      </w:pPr>
    </w:p>
    <w:p w14:paraId="5413ECE0" w14:textId="77777777" w:rsidR="00CB7BFE" w:rsidRDefault="00CB7BF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bookmarkStart w:id="3" w:name="Anlage2_Seite1"/>
      <w:r>
        <w:lastRenderedPageBreak/>
        <w:t>Anlage 2 - Seite 1 -</w:t>
      </w:r>
      <w:bookmarkEnd w:id="3"/>
      <w:r>
        <w:rPr>
          <w:rFonts w:cs="Calibri"/>
          <w:noProof/>
        </w:rPr>
        <w:drawing>
          <wp:inline distT="0" distB="0" distL="0" distR="0" wp14:anchorId="03BD90FF" wp14:editId="1A7042BB">
            <wp:extent cx="3067050" cy="4381500"/>
            <wp:effectExtent l="0" t="0" r="0" b="0"/>
            <wp:docPr id="3" name="Im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4" t="4280" r="8057" b="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3233F" w14:textId="77777777" w:rsidR="00CB7BFE" w:rsidRDefault="00CB7BFE">
      <w:pPr>
        <w:pStyle w:val="RVAnlagenabstandleer75"/>
        <w:rPr>
          <w:rFonts w:cs="Calibri"/>
        </w:rPr>
      </w:pPr>
    </w:p>
    <w:p w14:paraId="2B1BE182" w14:textId="77777777" w:rsidR="00CB7BFE" w:rsidRDefault="00CB7BFE">
      <w:pPr>
        <w:pStyle w:val="RVtabelle75fr"/>
        <w:keepLines/>
        <w:widowControl/>
        <w:tabs>
          <w:tab w:val="clear" w:pos="720"/>
        </w:tabs>
        <w:spacing w:before="10" w:after="10" w:line="160" w:lineRule="atLeast"/>
      </w:pPr>
      <w:r>
        <w:t>Anlage 2 - Seite 2</w:t>
      </w:r>
      <w:r>
        <w:rPr>
          <w:rFonts w:cs="Calibri"/>
          <w:noProof/>
        </w:rPr>
        <w:drawing>
          <wp:inline distT="0" distB="0" distL="0" distR="0" wp14:anchorId="5FBCCD55" wp14:editId="691E2811">
            <wp:extent cx="3067050" cy="4381500"/>
            <wp:effectExtent l="0" t="0" r="0" b="0"/>
            <wp:docPr id="4" name="Imag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6" t="313" r="5424" b="11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705DA" w14:textId="77777777" w:rsidR="00CB7BFE" w:rsidRDefault="00CB7BFE">
      <w:pPr>
        <w:pStyle w:val="RVfliesstext175nb"/>
        <w:widowControl/>
        <w:rPr>
          <w:rFonts w:cs="Calibri"/>
        </w:rPr>
      </w:pPr>
    </w:p>
    <w:sectPr w:rsidR="00000000">
      <w:footerReference w:type="even" r:id="rId12"/>
      <w:footerReference w:type="default" r:id="rId13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80369" w14:textId="77777777" w:rsidR="00CB7BFE" w:rsidRDefault="00CB7BFE">
      <w:pPr>
        <w:widowControl/>
      </w:pPr>
      <w:r>
        <w:rPr>
          <w:rFonts w:cs="Calibri"/>
        </w:rPr>
        <w:separator/>
      </w:r>
    </w:p>
  </w:endnote>
  <w:endnote w:type="continuationSeparator" w:id="0">
    <w:p w14:paraId="141DA371" w14:textId="77777777" w:rsidR="00CB7BFE" w:rsidRDefault="00CB7BFE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3644E" w14:textId="77777777" w:rsidR="00CB7BFE" w:rsidRDefault="00CB7BFE">
    <w:pPr>
      <w:pStyle w:val="Fudf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AF2E" w14:textId="77777777" w:rsidR="00CB7BFE" w:rsidRDefault="00CB7BFE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2ACE" w14:textId="77777777" w:rsidR="00CB7BFE" w:rsidRDefault="00CB7BFE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76396D8" w14:textId="77777777" w:rsidR="00CB7BFE" w:rsidRDefault="00CB7BFE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804F358" w14:textId="77777777" w:rsidR="00CB7BFE" w:rsidRDefault="00CB7BFE">
      <w:pPr>
        <w:pStyle w:val="RVFudf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/>
          <w:sz w:val="12"/>
        </w:rPr>
        <w:footnoteRef/>
      </w:r>
      <w:bookmarkStart w:id="1" w:name="fn*"/>
      <w:bookmarkEnd w:id="1"/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t>RdErl</w:t>
      </w:r>
      <w:r>
        <w:rPr>
          <w:rFonts w:cs="Arial"/>
        </w:rPr>
        <w:t>.</w:t>
      </w:r>
      <w:r>
        <w:t xml:space="preserve"> v</w:t>
      </w:r>
      <w:r>
        <w:rPr>
          <w:rFonts w:cs="Arial"/>
        </w:rPr>
        <w:t>.</w:t>
      </w:r>
      <w:r>
        <w:t xml:space="preserve"> 27</w:t>
      </w:r>
      <w:r>
        <w:rPr>
          <w:rFonts w:cs="Arial"/>
        </w:rPr>
        <w:t>.</w:t>
      </w:r>
      <w:r>
        <w:t>04</w:t>
      </w:r>
      <w:r>
        <w:rPr>
          <w:rFonts w:cs="Arial"/>
        </w:rPr>
        <w:t>.</w:t>
      </w:r>
      <w:r>
        <w:t xml:space="preserve">2009 </w:t>
      </w:r>
      <w:r>
        <w:rPr>
          <w:rFonts w:cs="Arial"/>
        </w:rPr>
        <w:t>(</w:t>
      </w:r>
      <w:r>
        <w:t>ABl</w:t>
      </w:r>
      <w:r>
        <w:rPr>
          <w:rFonts w:cs="Arial"/>
        </w:rPr>
        <w:t>.</w:t>
      </w:r>
      <w:r>
        <w:t xml:space="preserve"> NRW</w:t>
      </w:r>
      <w:r>
        <w:rPr>
          <w:rFonts w:cs="Arial"/>
        </w:rPr>
        <w:t>.</w:t>
      </w:r>
      <w:r>
        <w:t xml:space="preserve"> S</w:t>
      </w:r>
      <w:r>
        <w:rPr>
          <w:rFonts w:cs="Arial"/>
        </w:rPr>
        <w:t>.</w:t>
      </w:r>
      <w:r>
        <w:t xml:space="preserve"> 241</w:t>
      </w:r>
      <w:r>
        <w:rPr>
          <w:rFonts w:cs="Arial"/>
        </w:rPr>
        <w:t>)</w:t>
      </w:r>
      <w:r>
        <w:t>;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27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1987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314</w:t>
      </w:r>
      <w:r>
        <w:t>)</w:t>
      </w:r>
    </w:p>
  </w:footnote>
  <w:footnote w:id="2">
    <w:p w14:paraId="10F82C05" w14:textId="77777777" w:rsidR="00CB7BFE" w:rsidRDefault="00CB7BFE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Calibri"/>
        </w:rPr>
        <w:tab/>
      </w:r>
      <w:r>
        <w:t>§</w:t>
      </w:r>
      <w:r>
        <w:rPr>
          <w:rFonts w:cs="Calibri"/>
        </w:rPr>
        <w:t xml:space="preserve"> 100 aufgehoben mit Haushaltsbegleitgesetz 2019 vom 18</w:t>
      </w:r>
      <w:r>
        <w:t>.</w:t>
      </w:r>
      <w:r>
        <w:rPr>
          <w:rFonts w:cs="Calibri"/>
        </w:rPr>
        <w:t>12</w:t>
      </w:r>
      <w:r>
        <w:t>.</w:t>
      </w:r>
      <w:r>
        <w:rPr>
          <w:rFonts w:cs="Calibri"/>
        </w:rPr>
        <w:t xml:space="preserve">2018 </w:t>
      </w:r>
      <w:r>
        <w:t>(</w:t>
      </w:r>
      <w:r>
        <w:rPr>
          <w:rFonts w:cs="Calibri"/>
        </w:rPr>
        <w:t>GV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>S</w:t>
      </w:r>
      <w:r>
        <w:t>.</w:t>
      </w:r>
      <w:r>
        <w:rPr>
          <w:rFonts w:cs="Calibri"/>
        </w:rPr>
        <w:t xml:space="preserve"> 803</w:t>
      </w:r>
      <w:r>
        <w:t>)</w:t>
      </w:r>
      <w:r>
        <w:rPr>
          <w:rFonts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5190"/>
    <w:rsid w:val="00A339FA"/>
    <w:rsid w:val="00BC5190"/>
    <w:rsid w:val="00C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7B416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link">
    <w:name w:val="link"/>
    <w:uiPriority w:val="99"/>
    <w:rPr>
      <w:rFonts w:ascii="Arial" w:hAnsi="Arial"/>
      <w:color w:val="000000"/>
      <w:sz w:val="15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9200310091018371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2024-09-10T02:20:00Z</dcterms:created>
  <dcterms:modified xsi:type="dcterms:W3CDTF">2024-09-10T02:20:00Z</dcterms:modified>
</cp:coreProperties>
</file>