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5BD959" w14:textId="77777777" w:rsidR="0001414D" w:rsidRDefault="0001414D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183410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3AE2C82" w14:textId="77777777" w:rsidR="0001414D" w:rsidRDefault="0001414D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Zweiter Bildungsweg</w:t>
            </w:r>
          </w:p>
          <w:p w14:paraId="5BEE56C2" w14:textId="77777777" w:rsidR="0001414D" w:rsidRDefault="0001414D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Nachweis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Belegung einer zweiten Fremdsprache gem</w:t>
            </w:r>
            <w:r>
              <w:rPr>
                <w:rFonts w:cs="Calibri"/>
              </w:rPr>
              <w:t>äß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8 Absatz 5 APO-GOSt</w:t>
            </w:r>
          </w:p>
        </w:tc>
      </w:tr>
    </w:tbl>
    <w:p w14:paraId="03622FEA" w14:textId="77777777" w:rsidR="0001414D" w:rsidRDefault="0001414D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19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4.2</w:t>
      </w:r>
    </w:p>
    <w:p w14:paraId="68D4E857" w14:textId="77777777" w:rsidR="0001414D" w:rsidRDefault="0001414D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die Externenpr</w:t>
      </w:r>
      <w:r>
        <w:t>ü</w:t>
      </w:r>
      <w:r>
        <w:t>fung</w:t>
      </w:r>
      <w:r>
        <w:br/>
      </w:r>
      <w:r>
        <w:t>zum Erwerb der Abschl</w:t>
      </w:r>
      <w:r>
        <w:t>ü</w:t>
      </w:r>
      <w:r>
        <w:t>sse der Sekundarstufe I</w:t>
      </w:r>
      <w:r>
        <w:br/>
        <w:t xml:space="preserve">(VVzPO-Externe-S I); </w:t>
      </w:r>
      <w:r>
        <w:t>Ä</w:t>
      </w:r>
      <w:r>
        <w:t>nderung</w:t>
      </w:r>
    </w:p>
    <w:p w14:paraId="4AE2449F" w14:textId="77777777" w:rsidR="0001414D" w:rsidRDefault="0001414D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24. 11. 2011 </w:t>
      </w:r>
      <w:r>
        <w:t>–</w:t>
      </w:r>
      <w:r>
        <w:t xml:space="preserve"> 534-6.03.15.06-101043</w:t>
      </w:r>
    </w:p>
    <w:p w14:paraId="656F5AA1" w14:textId="77777777" w:rsidR="0001414D" w:rsidRDefault="0001414D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 und Weiterbildung</w:t>
      </w:r>
      <w:r>
        <w:br/>
        <w:t xml:space="preserve">v. 12. 5. 2008 (BASS 19 </w:t>
      </w:r>
      <w:r>
        <w:t>–</w:t>
      </w:r>
      <w:r>
        <w:t xml:space="preserve"> 32 Nr. 4.2)</w:t>
      </w:r>
    </w:p>
    <w:p w14:paraId="7BF4CEA4" w14:textId="77777777" w:rsidR="0001414D" w:rsidRDefault="0001414D">
      <w:pPr>
        <w:pStyle w:val="V-Normaltext"/>
        <w:widowControl/>
        <w:rPr>
          <w:rFonts w:cs="Calibri"/>
        </w:rPr>
      </w:pPr>
      <w:r>
        <w:t>Im Bezugserlass wird die folgende Erg</w:t>
      </w:r>
      <w:r>
        <w:t>ä</w:t>
      </w:r>
      <w:r>
        <w:t>nzung vorgenommen:</w:t>
      </w:r>
    </w:p>
    <w:p w14:paraId="79A868F4" w14:textId="77777777" w:rsidR="0001414D" w:rsidRDefault="0001414D">
      <w:pPr>
        <w:pStyle w:val="V-Zwischenfcberschrift01"/>
        <w:widowControl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15</w:t>
      </w:r>
    </w:p>
    <w:p w14:paraId="4CCF50C0" w14:textId="77777777" w:rsidR="0001414D" w:rsidRDefault="0001414D">
      <w:pPr>
        <w:pStyle w:val="V-Normaltext"/>
        <w:widowControl/>
        <w:spacing w:before="10" w:after="10"/>
        <w:jc w:val="center"/>
        <w:rPr>
          <w:rFonts w:cs="Calibri"/>
        </w:rPr>
      </w:pPr>
      <w:r>
        <w:t>15.2 zu Abs. 2</w:t>
      </w:r>
    </w:p>
    <w:p w14:paraId="4859B62F" w14:textId="77777777" w:rsidR="0001414D" w:rsidRDefault="0001414D">
      <w:pPr>
        <w:pStyle w:val="V-Normaltext"/>
        <w:widowControl/>
        <w:rPr>
          <w:rFonts w:cs="Calibri"/>
        </w:rPr>
      </w:pPr>
      <w:r>
        <w:t>Der Nachweis f</w:t>
      </w:r>
      <w:r>
        <w:t>ü</w:t>
      </w:r>
      <w:r>
        <w:t>r die Belegung einer zweiten Fremdsprache gem</w:t>
      </w:r>
      <w:r>
        <w:t>äß</w:t>
      </w:r>
      <w:r>
        <w:t xml:space="preserve"> </w:t>
      </w:r>
      <w:r>
        <w:t>§</w:t>
      </w:r>
      <w:r>
        <w:t xml:space="preserve"> 8 Absatz 5 APO-GOSt (BASS 13 </w:t>
      </w:r>
      <w:r>
        <w:t>–</w:t>
      </w:r>
      <w:r>
        <w:t xml:space="preserve"> 32 Nr. 3.1) kann erbracht werden, wenn unter den F</w:t>
      </w:r>
      <w:r>
        <w:t>ä</w:t>
      </w:r>
      <w:r>
        <w:t>chern der schriftlichen und m</w:t>
      </w:r>
      <w:r>
        <w:t>ü</w:t>
      </w:r>
      <w:r>
        <w:t>ndlichen Pr</w:t>
      </w:r>
      <w:r>
        <w:t>ü</w:t>
      </w:r>
      <w:r>
        <w:t>fung gem</w:t>
      </w:r>
      <w:r>
        <w:t>äß</w:t>
      </w:r>
      <w:r>
        <w:t xml:space="preserve"> </w:t>
      </w:r>
      <w:r>
        <w:t>§</w:t>
      </w:r>
      <w:r>
        <w:t xml:space="preserve"> 10 Absatz 4 und </w:t>
      </w:r>
      <w:r>
        <w:t>§</w:t>
      </w:r>
      <w:r>
        <w:t xml:space="preserve"> 12 Absatz 2 PO-Externe-S I  eine zweite Fremdsprache gem</w:t>
      </w:r>
      <w:r>
        <w:t>äß</w:t>
      </w:r>
      <w:r>
        <w:t xml:space="preserve"> </w:t>
      </w:r>
      <w:r>
        <w:t>§</w:t>
      </w:r>
      <w:r>
        <w:t xml:space="preserve"> 12 Absatz 2 Nummer 3 enthalten ist und in den Pr</w:t>
      </w:r>
      <w:r>
        <w:t>ü</w:t>
      </w:r>
      <w:r>
        <w:t>fungen mindestens befriedigende Leistungen erreicht werden. Die Anforderungen in der schriftlichen sowie m</w:t>
      </w:r>
      <w:r>
        <w:t>ü</w:t>
      </w:r>
      <w:r>
        <w:t>ndlichen Pr</w:t>
      </w:r>
      <w:r>
        <w:t>ü</w:t>
      </w:r>
      <w:r>
        <w:t>fung entsprechen dem in einem mindestens vierj</w:t>
      </w:r>
      <w:r>
        <w:t>ä</w:t>
      </w:r>
      <w:r>
        <w:t xml:space="preserve">hrigen aufsteigenden Pflichtunterricht in der zweiten Fremdsprache im Umfang von mindestens 14 Wochenstunden erreichbaren Niveau. Die Bestimmungen des </w:t>
      </w:r>
      <w:r>
        <w:t>§</w:t>
      </w:r>
      <w:r>
        <w:t xml:space="preserve"> 10 Absatz 1 PO-Externe-A bleiben hiervon unber</w:t>
      </w:r>
      <w:r>
        <w:t>ü</w:t>
      </w:r>
      <w:r>
        <w:t>hrt.</w:t>
      </w:r>
      <w:r>
        <w:t>“</w:t>
      </w:r>
    </w:p>
    <w:p w14:paraId="34AEFA26" w14:textId="77777777" w:rsidR="0001414D" w:rsidRDefault="0001414D">
      <w:pPr>
        <w:pStyle w:val="V-Normaltext"/>
        <w:widowControl/>
      </w:pPr>
    </w:p>
    <w:p w14:paraId="37BF4BD0" w14:textId="77777777" w:rsidR="0001414D" w:rsidRDefault="0001414D">
      <w:pPr>
        <w:pStyle w:val="V-Normaltext"/>
        <w:widowControl/>
        <w:jc w:val="right"/>
      </w:pPr>
      <w:r>
        <w:rPr>
          <w:rFonts w:cs="Calibri"/>
        </w:rPr>
        <w:t>ABl. NRW. 01/12 S. 40</w:t>
      </w:r>
    </w:p>
    <w:p w14:paraId="40CC3365" w14:textId="77777777" w:rsidR="0001414D" w:rsidRDefault="0001414D">
      <w:pPr>
        <w:pStyle w:val="V-Normaltext"/>
        <w:widowControl/>
        <w:rPr>
          <w:rFonts w:cs="Calibri"/>
        </w:rPr>
      </w:pPr>
    </w:p>
    <w:p w14:paraId="74DC7272" w14:textId="77777777" w:rsidR="0001414D" w:rsidRDefault="0001414D">
      <w:pPr>
        <w:pStyle w:val="V-Normaltext"/>
        <w:widowControl/>
      </w:pPr>
    </w:p>
    <w:p w14:paraId="481F6790" w14:textId="77777777" w:rsidR="0001414D" w:rsidRDefault="0001414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0D1363" w14:textId="77777777" w:rsidR="0001414D" w:rsidRDefault="0001414D">
      <w:r>
        <w:separator/>
      </w:r>
    </w:p>
  </w:endnote>
  <w:endnote w:type="continuationSeparator" w:id="0">
    <w:p w14:paraId="662B7B3C" w14:textId="77777777" w:rsidR="0001414D" w:rsidRDefault="0001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9ABB5" w14:textId="77777777" w:rsidR="0001414D" w:rsidRDefault="0001414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45EC4" w14:textId="77777777" w:rsidR="0001414D" w:rsidRDefault="0001414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8146363" w14:textId="77777777" w:rsidR="0001414D" w:rsidRDefault="0001414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0F8D"/>
    <w:rsid w:val="0001414D"/>
    <w:rsid w:val="00930F8D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3D06C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