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A081" w14:textId="77777777" w:rsidR="00CA38F6" w:rsidRDefault="00CA38F6">
      <w:pPr>
        <w:pStyle w:val="Bass-Nr"/>
        <w:keepNext/>
      </w:pPr>
      <w:r>
        <w:rPr>
          <w:rFonts w:cs="Calibri"/>
        </w:rPr>
        <w:t>11-03 Nr. 1</w:t>
      </w:r>
    </w:p>
    <w:p w14:paraId="613962EE" w14:textId="77777777" w:rsidR="00CA38F6" w:rsidRDefault="00CA38F6">
      <w:pPr>
        <w:pStyle w:val="RVueberschrift1100fz"/>
        <w:keepNext/>
        <w:keepLines/>
        <w:rPr>
          <w:rFonts w:cs="Arial"/>
        </w:rPr>
      </w:pPr>
      <w:r>
        <w:t xml:space="preserve">Steuerbefreiung </w:t>
      </w:r>
      <w:r>
        <w:br/>
        <w:t xml:space="preserve">nach </w:t>
      </w:r>
      <w:r>
        <w:t>§</w:t>
      </w:r>
      <w:r>
        <w:t xml:space="preserve"> 4 Nrn. 20 Buchstabe a und 21 Buchstabe a </w:t>
      </w:r>
      <w:r>
        <w:br/>
        <w:t>des Umsatzsteuergesetzes</w:t>
      </w:r>
    </w:p>
    <w:p w14:paraId="71953E24" w14:textId="77777777" w:rsidR="00CA38F6" w:rsidRDefault="00CA38F6">
      <w:pPr>
        <w:pStyle w:val="RVueberschrift285nz"/>
        <w:keepNext/>
        <w:keepLines/>
      </w:pPr>
      <w:r>
        <w:t>RdErl</w:t>
      </w:r>
      <w:r>
        <w:rPr>
          <w:rFonts w:cs="Arial"/>
        </w:rPr>
        <w:t>.</w:t>
      </w:r>
      <w:r>
        <w:t xml:space="preserve"> d</w:t>
      </w:r>
      <w:r>
        <w:rPr>
          <w:rFonts w:cs="Arial"/>
        </w:rPr>
        <w:t>.</w:t>
      </w:r>
      <w:r>
        <w:t xml:space="preserve"> Kultusministeriums </w:t>
      </w:r>
      <w:r>
        <w:br/>
        <w:t>v</w:t>
      </w:r>
      <w:r>
        <w:rPr>
          <w:rFonts w:cs="Arial"/>
        </w:rPr>
        <w:t>.</w:t>
      </w:r>
      <w:r>
        <w:t xml:space="preserve"> 18</w:t>
      </w:r>
      <w:r>
        <w:rPr>
          <w:rFonts w:cs="Arial"/>
        </w:rPr>
        <w:t>.</w:t>
      </w:r>
      <w:r>
        <w:t>12</w:t>
      </w:r>
      <w:r>
        <w:rPr>
          <w:rFonts w:cs="Arial"/>
        </w:rPr>
        <w:t>.</w:t>
      </w:r>
      <w:r>
        <w:t xml:space="preserve">1989 </w:t>
      </w:r>
      <w:r>
        <w:rPr>
          <w:rFonts w:cs="Arial"/>
        </w:rPr>
        <w:t>(</w:t>
      </w:r>
      <w:r>
        <w:t>GABl</w:t>
      </w:r>
      <w:r>
        <w:rPr>
          <w:rFonts w:cs="Arial"/>
        </w:rPr>
        <w:t>.</w:t>
      </w:r>
      <w:r>
        <w:t xml:space="preserve"> NW</w:t>
      </w:r>
      <w:r>
        <w:rPr>
          <w:rFonts w:cs="Arial"/>
        </w:rPr>
        <w:t>.</w:t>
      </w:r>
      <w:r>
        <w:t xml:space="preserve"> 02</w:t>
      </w:r>
      <w:r>
        <w:rPr>
          <w:rFonts w:cs="Arial"/>
        </w:rPr>
        <w:t>/</w:t>
      </w:r>
      <w:r>
        <w:t>90 S</w:t>
      </w:r>
      <w:r>
        <w:rPr>
          <w:rFonts w:cs="Arial"/>
        </w:rPr>
        <w:t>.</w:t>
      </w:r>
      <w:r>
        <w:t xml:space="preserve"> 75</w:t>
      </w:r>
      <w:r>
        <w:rPr>
          <w:rFonts w:cs="Arial"/>
        </w:rPr>
        <w:t>)</w:t>
      </w:r>
      <w:r>
        <w:rPr>
          <w:rStyle w:val="FootnoteReference"/>
          <w:rFonts w:ascii="Arial" w:hAnsi="Arial"/>
        </w:rPr>
        <w:footnoteReference w:id="1"/>
      </w:r>
    </w:p>
    <w:p w14:paraId="057DEAAF" w14:textId="77777777" w:rsidR="00CA38F6" w:rsidRDefault="00CA38F6">
      <w:pPr>
        <w:pStyle w:val="RVueberschrift285fz"/>
        <w:keepNext/>
        <w:keepLines/>
        <w:spacing w:before="70" w:after="50"/>
        <w:rPr>
          <w:rFonts w:cs="Calibri"/>
        </w:rPr>
      </w:pPr>
      <w:r>
        <w:t>1</w:t>
      </w:r>
    </w:p>
    <w:p w14:paraId="4AA0FBF0" w14:textId="77777777" w:rsidR="00CA38F6" w:rsidRDefault="00CA38F6">
      <w:pPr>
        <w:pStyle w:val="RVfliesstext175nb"/>
        <w:widowControl/>
      </w:pPr>
      <w:r>
        <w:t xml:space="preserve">Nach </w:t>
      </w:r>
      <w:r>
        <w:rPr>
          <w:rFonts w:cs="Calibri"/>
        </w:rPr>
        <w:t>§</w:t>
      </w:r>
      <w:r>
        <w:t xml:space="preserve"> 4 Nr</w:t>
      </w:r>
      <w:r>
        <w:rPr>
          <w:rFonts w:cs="Calibri"/>
        </w:rPr>
        <w:t>.</w:t>
      </w:r>
      <w:r>
        <w:t xml:space="preserve"> 20 Buchstabe a Satz 1</w:t>
      </w:r>
      <w:hyperlink r:id="rId7" w:history="1">
        <w:r>
          <w:t xml:space="preserve"> UStG</w:t>
        </w:r>
      </w:hyperlink>
      <w:r>
        <w:rPr>
          <w:rFonts w:cs="Calibri"/>
        </w:rPr>
        <w:t xml:space="preserve"> sind die Ums</w:t>
      </w:r>
      <w:r>
        <w:rPr>
          <w:rFonts w:cs="Calibri"/>
        </w:rPr>
        <w:t>ä</w:t>
      </w:r>
      <w:r>
        <w:rPr>
          <w:rFonts w:cs="Calibri"/>
        </w:rPr>
        <w:t>tze folgender Einrichtungen des Bundes</w:t>
      </w:r>
      <w:r>
        <w:t>,</w:t>
      </w:r>
      <w:r>
        <w:rPr>
          <w:rFonts w:cs="Calibri"/>
        </w:rPr>
        <w:t xml:space="preserve"> der L</w:t>
      </w:r>
      <w:r>
        <w:rPr>
          <w:rFonts w:cs="Calibri"/>
        </w:rPr>
        <w:t>ä</w:t>
      </w:r>
      <w:r>
        <w:rPr>
          <w:rFonts w:cs="Calibri"/>
        </w:rPr>
        <w:t>nder</w:t>
      </w:r>
      <w:r>
        <w:t>,</w:t>
      </w:r>
      <w:r>
        <w:rPr>
          <w:rFonts w:cs="Calibri"/>
        </w:rPr>
        <w:t xml:space="preserve"> der Gemeinden oder der Gemeindeverb</w:t>
      </w:r>
      <w:r>
        <w:rPr>
          <w:rFonts w:cs="Calibri"/>
        </w:rPr>
        <w:t>ä</w:t>
      </w:r>
      <w:r>
        <w:rPr>
          <w:rFonts w:cs="Calibri"/>
        </w:rPr>
        <w:t>nde</w:t>
      </w:r>
      <w:r>
        <w:rPr>
          <w:rStyle w:val="FootnoteReference"/>
          <w:rFonts w:ascii="Arial" w:hAnsi="Arial"/>
        </w:rPr>
        <w:footnoteReference w:id="2"/>
      </w:r>
      <w:r>
        <w:rPr>
          <w:rFonts w:cs="Calibri"/>
        </w:rPr>
        <w:t xml:space="preserve"> von der Umsatzsteuer befreit</w:t>
      </w:r>
      <w:r>
        <w:t>:</w:t>
      </w:r>
      <w:r>
        <w:rPr>
          <w:rFonts w:cs="Calibri"/>
        </w:rPr>
        <w:t xml:space="preserve"> Theater</w:t>
      </w:r>
      <w:r>
        <w:t>,</w:t>
      </w:r>
      <w:r>
        <w:rPr>
          <w:rFonts w:cs="Calibri"/>
        </w:rPr>
        <w:t xml:space="preserve"> Orchester</w:t>
      </w:r>
      <w:r>
        <w:t>,</w:t>
      </w:r>
      <w:r>
        <w:rPr>
          <w:rFonts w:cs="Calibri"/>
        </w:rPr>
        <w:t xml:space="preserve"> Kammermusikensembles</w:t>
      </w:r>
      <w:r>
        <w:t>,</w:t>
      </w:r>
      <w:r>
        <w:rPr>
          <w:rFonts w:cs="Calibri"/>
        </w:rPr>
        <w:t xml:space="preserve"> Ch</w:t>
      </w:r>
      <w:r>
        <w:rPr>
          <w:rFonts w:cs="Calibri"/>
        </w:rPr>
        <w:t>ö</w:t>
      </w:r>
      <w:r>
        <w:rPr>
          <w:rFonts w:cs="Calibri"/>
        </w:rPr>
        <w:t>re</w:t>
      </w:r>
      <w:r>
        <w:t>,</w:t>
      </w:r>
      <w:r>
        <w:rPr>
          <w:rFonts w:cs="Calibri"/>
        </w:rPr>
        <w:t xml:space="preserve"> Museen</w:t>
      </w:r>
      <w:r>
        <w:t>,</w:t>
      </w:r>
      <w:r>
        <w:rPr>
          <w:rFonts w:cs="Calibri"/>
        </w:rPr>
        <w:t xml:space="preserve"> botanische G</w:t>
      </w:r>
      <w:r>
        <w:rPr>
          <w:rFonts w:cs="Calibri"/>
        </w:rPr>
        <w:t>ä</w:t>
      </w:r>
      <w:r>
        <w:rPr>
          <w:rFonts w:cs="Calibri"/>
        </w:rPr>
        <w:t>rten</w:t>
      </w:r>
      <w:r>
        <w:t>,</w:t>
      </w:r>
      <w:r>
        <w:rPr>
          <w:rFonts w:cs="Calibri"/>
        </w:rPr>
        <w:t xml:space="preserve"> zoologische G</w:t>
      </w:r>
      <w:r>
        <w:rPr>
          <w:rFonts w:cs="Calibri"/>
        </w:rPr>
        <w:t>ä</w:t>
      </w:r>
      <w:r>
        <w:rPr>
          <w:rFonts w:cs="Calibri"/>
        </w:rPr>
        <w:t>rten</w:t>
      </w:r>
      <w:r>
        <w:t>,</w:t>
      </w:r>
      <w:r>
        <w:rPr>
          <w:rFonts w:cs="Calibri"/>
        </w:rPr>
        <w:t xml:space="preserve"> Tierparks</w:t>
      </w:r>
      <w:r>
        <w:t>,</w:t>
      </w:r>
      <w:r>
        <w:rPr>
          <w:rFonts w:cs="Calibri"/>
        </w:rPr>
        <w:t xml:space="preserve"> Archive</w:t>
      </w:r>
      <w:r>
        <w:t>,</w:t>
      </w:r>
      <w:r>
        <w:rPr>
          <w:rFonts w:cs="Calibri"/>
        </w:rPr>
        <w:t xml:space="preserve"> B</w:t>
      </w:r>
      <w:r>
        <w:rPr>
          <w:rFonts w:cs="Calibri"/>
        </w:rPr>
        <w:t>ü</w:t>
      </w:r>
      <w:r>
        <w:rPr>
          <w:rFonts w:cs="Calibri"/>
        </w:rPr>
        <w:t>chereien sowie Denkm</w:t>
      </w:r>
      <w:r>
        <w:rPr>
          <w:rFonts w:cs="Calibri"/>
        </w:rPr>
        <w:t>ä</w:t>
      </w:r>
      <w:r>
        <w:rPr>
          <w:rFonts w:cs="Calibri"/>
        </w:rPr>
        <w:t>ler der Bau</w:t>
      </w:r>
      <w:r>
        <w:t>-</w:t>
      </w:r>
      <w:r>
        <w:rPr>
          <w:rFonts w:cs="Calibri"/>
        </w:rPr>
        <w:t xml:space="preserve"> und Gartenbaukunst</w:t>
      </w:r>
      <w:r>
        <w:t>.</w:t>
      </w:r>
      <w:r>
        <w:rPr>
          <w:rFonts w:cs="Calibri"/>
        </w:rPr>
        <w:t xml:space="preserve"> Nach Satz 2 dieser Bestimmung gilt dies auch f</w:t>
      </w:r>
      <w:r>
        <w:rPr>
          <w:rFonts w:cs="Calibri"/>
        </w:rPr>
        <w:t>ü</w:t>
      </w:r>
      <w:r>
        <w:rPr>
          <w:rFonts w:cs="Calibri"/>
        </w:rPr>
        <w:t>r Ums</w:t>
      </w:r>
      <w:r>
        <w:rPr>
          <w:rFonts w:cs="Calibri"/>
        </w:rPr>
        <w:t>ä</w:t>
      </w:r>
      <w:r>
        <w:rPr>
          <w:rFonts w:cs="Calibri"/>
        </w:rPr>
        <w:t xml:space="preserve">tze gleichartiger Einrichtungen </w:t>
      </w:r>
      <w:r>
        <w:t>„</w:t>
      </w:r>
      <w:r>
        <w:rPr>
          <w:rFonts w:cs="Calibri"/>
        </w:rPr>
        <w:t>anderer Unternehmer</w:t>
      </w:r>
      <w:r>
        <w:t>“</w:t>
      </w:r>
      <w:r>
        <w:rPr>
          <w:rFonts w:cs="Calibri"/>
        </w:rPr>
        <w:t>,</w:t>
      </w:r>
      <w:r>
        <w:t xml:space="preserve"> wenn die zust</w:t>
      </w:r>
      <w:r>
        <w:t>ä</w:t>
      </w:r>
      <w:r>
        <w:t>ndige Landesbeh</w:t>
      </w:r>
      <w:r>
        <w:t>ö</w:t>
      </w:r>
      <w:r>
        <w:t>rde bescheinigt</w:t>
      </w:r>
      <w:r>
        <w:rPr>
          <w:rFonts w:cs="Calibri"/>
        </w:rPr>
        <w:t>,</w:t>
      </w:r>
      <w:r>
        <w:t xml:space="preserve"> dass diese Einrichtungen die gleichen kulturellen Aufgaben erf</w:t>
      </w:r>
      <w:r>
        <w:t>ü</w:t>
      </w:r>
      <w:r>
        <w:t xml:space="preserve">llen wie die </w:t>
      </w:r>
      <w:r>
        <w:t>ö</w:t>
      </w:r>
      <w:r>
        <w:t>ffentlichen Einrichtungen</w:t>
      </w:r>
      <w:r>
        <w:rPr>
          <w:rFonts w:cs="Calibri"/>
        </w:rPr>
        <w:t>.</w:t>
      </w:r>
    </w:p>
    <w:p w14:paraId="1CEE0127" w14:textId="77777777" w:rsidR="00CA38F6" w:rsidRDefault="00CA38F6">
      <w:pPr>
        <w:pStyle w:val="RVueberschrift285fz"/>
        <w:keepNext/>
        <w:keepLines/>
        <w:spacing w:before="70" w:after="50"/>
      </w:pPr>
      <w:r>
        <w:rPr>
          <w:rFonts w:cs="Calibri"/>
        </w:rPr>
        <w:t>2</w:t>
      </w:r>
    </w:p>
    <w:p w14:paraId="71AEFC46" w14:textId="77777777" w:rsidR="00CA38F6" w:rsidRDefault="00CA38F6">
      <w:pPr>
        <w:pStyle w:val="RVfliesstext175nb"/>
        <w:widowControl/>
        <w:rPr>
          <w:rFonts w:cs="Calibri"/>
        </w:rPr>
      </w:pPr>
      <w:r>
        <w:rPr>
          <w:rFonts w:cs="Calibri"/>
        </w:rPr>
        <w:t xml:space="preserve">Nach </w:t>
      </w:r>
      <w:r>
        <w:rPr>
          <w:rFonts w:cs="Calibri"/>
        </w:rPr>
        <w:t>§</w:t>
      </w:r>
      <w:r>
        <w:rPr>
          <w:rFonts w:cs="Calibri"/>
        </w:rPr>
        <w:t xml:space="preserve"> 4 Nr. 21 Buchstabe a </w:t>
      </w:r>
      <w:hyperlink r:id="rId8" w:history="1">
        <w:r>
          <w:rPr>
            <w:rFonts w:cs="Calibri"/>
          </w:rPr>
          <w:t>UStG</w:t>
        </w:r>
      </w:hyperlink>
      <w:r>
        <w:t xml:space="preserve"> sind die unmittelbar dem Schul- und Bildungszweck dienenden Leistungen privater Schulen und anderer allgemeinbildender oder berufsbildender Einrichtungen von der Umsatzsteuer befreit, wenn</w:t>
      </w:r>
    </w:p>
    <w:p w14:paraId="6110F1BA" w14:textId="77777777" w:rsidR="00CA38F6" w:rsidRDefault="00CA38F6">
      <w:pPr>
        <w:pStyle w:val="RVfliesstext175nb"/>
        <w:widowControl/>
      </w:pPr>
      <w:r>
        <w:t>a) sie als Ersatzschulen gem</w:t>
      </w:r>
      <w:r>
        <w:t>äß</w:t>
      </w:r>
      <w:r>
        <w:t xml:space="preserve"> </w:t>
      </w:r>
      <w:hyperlink w:anchor="https://bass.schul-welt.de/1077.htm#0-1p7(4)" w:history="1">
        <w:r>
          <w:t>Artikel 7 Absatz 4 Grundgesetz</w:t>
        </w:r>
      </w:hyperlink>
      <w:r>
        <w:rPr>
          <w:rStyle w:val="link"/>
          <w:rFonts w:cs="Calibri"/>
        </w:rPr>
        <w:t xml:space="preserve"> </w:t>
      </w:r>
      <w:r>
        <w:rPr>
          <w:rStyle w:val="link"/>
          <w:color w:val="000000"/>
        </w:rPr>
        <w:t>(BASS 0-1)</w:t>
      </w:r>
      <w:r>
        <w:rPr>
          <w:rFonts w:cs="Calibri"/>
        </w:rPr>
        <w:t xml:space="preserve"> staatlich genehmigt oder nach Landesrecht erlaubt sind oder</w:t>
      </w:r>
    </w:p>
    <w:p w14:paraId="621666C7" w14:textId="77777777" w:rsidR="00CA38F6" w:rsidRDefault="00CA38F6">
      <w:pPr>
        <w:pStyle w:val="RVfliesstext175nb"/>
        <w:widowControl/>
      </w:pPr>
      <w:r>
        <w:rPr>
          <w:rFonts w:cs="Calibri"/>
        </w:rPr>
        <w:t>b) die zust</w:t>
      </w:r>
      <w:r>
        <w:rPr>
          <w:rFonts w:cs="Calibri"/>
        </w:rPr>
        <w:t>ä</w:t>
      </w:r>
      <w:r>
        <w:rPr>
          <w:rFonts w:cs="Calibri"/>
        </w:rPr>
        <w:t>ndige Landesbeh</w:t>
      </w:r>
      <w:r>
        <w:rPr>
          <w:rFonts w:cs="Calibri"/>
        </w:rPr>
        <w:t>ö</w:t>
      </w:r>
      <w:r>
        <w:rPr>
          <w:rFonts w:cs="Calibri"/>
        </w:rPr>
        <w:t xml:space="preserve">rde bescheinigt, dass sie auf einen Beruf oder eine vor einer juristischen Person des </w:t>
      </w:r>
      <w:r>
        <w:rPr>
          <w:rFonts w:cs="Calibri"/>
        </w:rPr>
        <w:t>ö</w:t>
      </w:r>
      <w:r>
        <w:rPr>
          <w:rFonts w:cs="Calibri"/>
        </w:rPr>
        <w:t>ffentlichen Rechts abzulegenden Pr</w:t>
      </w:r>
      <w:r>
        <w:rPr>
          <w:rFonts w:cs="Calibri"/>
        </w:rPr>
        <w:t>ü</w:t>
      </w:r>
      <w:r>
        <w:rPr>
          <w:rFonts w:cs="Calibri"/>
        </w:rPr>
        <w:t>fung ordnungsgem</w:t>
      </w:r>
      <w:r>
        <w:rPr>
          <w:rFonts w:cs="Calibri"/>
        </w:rPr>
        <w:t>äß</w:t>
      </w:r>
      <w:r>
        <w:rPr>
          <w:rFonts w:cs="Calibri"/>
        </w:rPr>
        <w:t xml:space="preserve"> vorbereiten.</w:t>
      </w:r>
    </w:p>
    <w:p w14:paraId="1071C3F3" w14:textId="77777777" w:rsidR="00CA38F6" w:rsidRDefault="00CA38F6">
      <w:pPr>
        <w:pStyle w:val="RVueberschrift285fz"/>
        <w:keepNext/>
        <w:keepLines/>
        <w:spacing w:before="70" w:after="50"/>
      </w:pPr>
      <w:r>
        <w:rPr>
          <w:rFonts w:cs="Calibri"/>
        </w:rPr>
        <w:t>3</w:t>
      </w:r>
    </w:p>
    <w:p w14:paraId="77770B14" w14:textId="77777777" w:rsidR="00CA38F6" w:rsidRDefault="00CA38F6">
      <w:pPr>
        <w:pStyle w:val="RVfliesstext175nb"/>
        <w:widowControl/>
      </w:pPr>
      <w:r>
        <w:rPr>
          <w:rFonts w:cs="Calibri"/>
        </w:rPr>
        <w:t>Zust</w:t>
      </w:r>
      <w:r>
        <w:rPr>
          <w:rFonts w:cs="Calibri"/>
        </w:rPr>
        <w:t>ä</w:t>
      </w:r>
      <w:r>
        <w:rPr>
          <w:rFonts w:cs="Calibri"/>
        </w:rPr>
        <w:t>ndige Landesbeh</w:t>
      </w:r>
      <w:r>
        <w:rPr>
          <w:rFonts w:cs="Calibri"/>
        </w:rPr>
        <w:t>ö</w:t>
      </w:r>
      <w:r>
        <w:rPr>
          <w:rFonts w:cs="Calibri"/>
        </w:rPr>
        <w:t>rde f</w:t>
      </w:r>
      <w:r>
        <w:rPr>
          <w:rFonts w:cs="Calibri"/>
        </w:rPr>
        <w:t>ü</w:t>
      </w:r>
      <w:r>
        <w:rPr>
          <w:rFonts w:cs="Calibri"/>
        </w:rPr>
        <w:t>r die Erteilung der Bescheinigungen nach Nrn. 1 und 2 ist die Bezirksregierung.</w:t>
      </w:r>
    </w:p>
    <w:p w14:paraId="2CF0FB3F" w14:textId="77777777" w:rsidR="00CA38F6" w:rsidRDefault="00CA38F6">
      <w:pPr>
        <w:pStyle w:val="RVfliesstext175nb"/>
        <w:widowControl/>
      </w:pPr>
      <w:r>
        <w:rPr>
          <w:rFonts w:cs="Calibri"/>
        </w:rPr>
        <w:t>Soweit ein Unternehmen Niederlassungen in den Bezirken mehrerer Bezirksregierungen oder in anderen Bundesl</w:t>
      </w:r>
      <w:r>
        <w:rPr>
          <w:rFonts w:cs="Calibri"/>
        </w:rPr>
        <w:t>ä</w:t>
      </w:r>
      <w:r>
        <w:rPr>
          <w:rFonts w:cs="Calibri"/>
        </w:rPr>
        <w:t>ndern hat, ist die Bescheinigung von der Bezirksregierung bzw. der Beh</w:t>
      </w:r>
      <w:r>
        <w:rPr>
          <w:rFonts w:cs="Calibri"/>
        </w:rPr>
        <w:t>ö</w:t>
      </w:r>
      <w:r>
        <w:rPr>
          <w:rFonts w:cs="Calibri"/>
        </w:rPr>
        <w:t>rde auszustellen, in deren Bezirk das Unternehmen seinen f</w:t>
      </w:r>
      <w:r>
        <w:rPr>
          <w:rFonts w:cs="Calibri"/>
        </w:rPr>
        <w:t>ü</w:t>
      </w:r>
      <w:r>
        <w:rPr>
          <w:rFonts w:cs="Calibri"/>
        </w:rPr>
        <w:t>r die Veranlagung zur Umsatzsteuer ma</w:t>
      </w:r>
      <w:r>
        <w:rPr>
          <w:rFonts w:cs="Calibri"/>
        </w:rPr>
        <w:t>ß</w:t>
      </w:r>
      <w:r>
        <w:rPr>
          <w:rFonts w:cs="Calibri"/>
        </w:rPr>
        <w:t>gebenden Sitz hat. Die f</w:t>
      </w:r>
      <w:r>
        <w:rPr>
          <w:rFonts w:cs="Calibri"/>
        </w:rPr>
        <w:t>ü</w:t>
      </w:r>
      <w:r>
        <w:rPr>
          <w:rFonts w:cs="Calibri"/>
        </w:rPr>
        <w:t>r die Niederlassungen zust</w:t>
      </w:r>
      <w:r>
        <w:rPr>
          <w:rFonts w:cs="Calibri"/>
        </w:rPr>
        <w:t>ä</w:t>
      </w:r>
      <w:r>
        <w:rPr>
          <w:rFonts w:cs="Calibri"/>
        </w:rPr>
        <w:t>ndigen Bezirksregierungen bzw. Beh</w:t>
      </w:r>
      <w:r>
        <w:rPr>
          <w:rFonts w:cs="Calibri"/>
        </w:rPr>
        <w:t>ö</w:t>
      </w:r>
      <w:r>
        <w:rPr>
          <w:rFonts w:cs="Calibri"/>
        </w:rPr>
        <w:t>rden sind zu beteiligen.</w:t>
      </w:r>
    </w:p>
    <w:p w14:paraId="33E378D4" w14:textId="77777777" w:rsidR="00CA38F6" w:rsidRDefault="00CA38F6">
      <w:pPr>
        <w:pStyle w:val="RVfliesstext175nb"/>
        <w:widowControl/>
      </w:pPr>
      <w:r>
        <w:rPr>
          <w:rFonts w:cs="Calibri"/>
        </w:rPr>
        <w:t>Soweit ausl</w:t>
      </w:r>
      <w:r>
        <w:rPr>
          <w:rFonts w:cs="Calibri"/>
        </w:rPr>
        <w:t>ä</w:t>
      </w:r>
      <w:r>
        <w:rPr>
          <w:rFonts w:cs="Calibri"/>
        </w:rPr>
        <w:t>ndische Theater, Orchester, Kammermusikensembles und Ch</w:t>
      </w:r>
      <w:r>
        <w:rPr>
          <w:rFonts w:cs="Calibri"/>
        </w:rPr>
        <w:t>ö</w:t>
      </w:r>
      <w:r>
        <w:rPr>
          <w:rFonts w:cs="Calibri"/>
        </w:rPr>
        <w:t>re an verschiedenen Orten gastieren (Tournee), ist die Bescheinigung durch die Bezirksregierung auszustellen, in deren Bezirk der erste Auftritt stattfindet.</w:t>
      </w:r>
    </w:p>
    <w:p w14:paraId="389F27CB" w14:textId="77777777" w:rsidR="00CA38F6" w:rsidRDefault="00CA38F6">
      <w:pPr>
        <w:pStyle w:val="RVfliesstext175nb"/>
        <w:widowControl/>
      </w:pPr>
      <w:r>
        <w:rPr>
          <w:rFonts w:cs="Calibri"/>
        </w:rPr>
        <w:t>Die zust</w:t>
      </w:r>
      <w:r>
        <w:rPr>
          <w:rFonts w:cs="Calibri"/>
        </w:rPr>
        <w:t>ä</w:t>
      </w:r>
      <w:r>
        <w:rPr>
          <w:rFonts w:cs="Calibri"/>
        </w:rPr>
        <w:t>ndige Bezirksregierung beteiligt die Abteilung 6 (Bergbau und Energie in NRW) der Bezirksregierung Arnsberg, soweit diese f</w:t>
      </w:r>
      <w:r>
        <w:rPr>
          <w:rFonts w:cs="Calibri"/>
        </w:rPr>
        <w:t>ü</w:t>
      </w:r>
      <w:r>
        <w:rPr>
          <w:rFonts w:cs="Calibri"/>
        </w:rPr>
        <w:t>r eine Bildungseinrichtung fachlich zust</w:t>
      </w:r>
      <w:r>
        <w:rPr>
          <w:rFonts w:cs="Calibri"/>
        </w:rPr>
        <w:t>ä</w:t>
      </w:r>
      <w:r>
        <w:rPr>
          <w:rFonts w:cs="Calibri"/>
        </w:rPr>
        <w:t>ndig w</w:t>
      </w:r>
      <w:r>
        <w:rPr>
          <w:rFonts w:cs="Calibri"/>
        </w:rPr>
        <w:t>ä</w:t>
      </w:r>
      <w:r>
        <w:rPr>
          <w:rFonts w:cs="Calibri"/>
        </w:rPr>
        <w:t>re.</w:t>
      </w:r>
    </w:p>
    <w:p w14:paraId="4CC67B39" w14:textId="77777777" w:rsidR="00CA38F6" w:rsidRDefault="00CA38F6">
      <w:pPr>
        <w:pStyle w:val="RVfliesstext175nb"/>
        <w:widowControl/>
      </w:pPr>
      <w:r>
        <w:rPr>
          <w:rFonts w:cs="Calibri"/>
        </w:rPr>
        <w:t>F</w:t>
      </w:r>
      <w:r>
        <w:rPr>
          <w:rFonts w:cs="Calibri"/>
        </w:rPr>
        <w:t>ü</w:t>
      </w:r>
      <w:r>
        <w:rPr>
          <w:rFonts w:cs="Calibri"/>
        </w:rPr>
        <w:t>r Fernlehrg</w:t>
      </w:r>
      <w:r>
        <w:rPr>
          <w:rFonts w:cs="Calibri"/>
        </w:rPr>
        <w:t>ä</w:t>
      </w:r>
      <w:r>
        <w:rPr>
          <w:rFonts w:cs="Calibri"/>
        </w:rPr>
        <w:t>nge bleibt die Zentralstelle f</w:t>
      </w:r>
      <w:r>
        <w:rPr>
          <w:rFonts w:cs="Calibri"/>
        </w:rPr>
        <w:t>ü</w:t>
      </w:r>
      <w:r>
        <w:rPr>
          <w:rFonts w:cs="Calibri"/>
        </w:rPr>
        <w:t>r Fernunterricht zust</w:t>
      </w:r>
      <w:r>
        <w:rPr>
          <w:rFonts w:cs="Calibri"/>
        </w:rPr>
        <w:t>ä</w:t>
      </w:r>
      <w:r>
        <w:rPr>
          <w:rFonts w:cs="Calibri"/>
        </w:rPr>
        <w:t>ndige Beh</w:t>
      </w:r>
      <w:r>
        <w:rPr>
          <w:rFonts w:cs="Calibri"/>
        </w:rPr>
        <w:t>ö</w:t>
      </w:r>
      <w:r>
        <w:rPr>
          <w:rFonts w:cs="Calibri"/>
        </w:rPr>
        <w:t xml:space="preserve">rde im Sinne des </w:t>
      </w:r>
      <w:r>
        <w:rPr>
          <w:rFonts w:cs="Calibri"/>
        </w:rPr>
        <w:t>§</w:t>
      </w:r>
      <w:r>
        <w:rPr>
          <w:rFonts w:cs="Calibri"/>
        </w:rPr>
        <w:t xml:space="preserve"> 4 Nr. 21 Buchstabe a Doppelbuchstabe bb </w:t>
      </w:r>
      <w:hyperlink r:id="rId9" w:history="1">
        <w:r>
          <w:rPr>
            <w:rFonts w:cs="Calibri"/>
          </w:rPr>
          <w:t>UStG</w:t>
        </w:r>
      </w:hyperlink>
      <w:r>
        <w:t xml:space="preserve"> (Artikel 2 Absatz 2 Nr. 4 </w:t>
      </w:r>
      <w:hyperlink r:id="rId10" w:history="1">
        <w:r>
          <w:t>Staatsvertrag</w:t>
        </w:r>
      </w:hyperlink>
      <w:r>
        <w:rPr>
          <w:rFonts w:cs="Calibri"/>
        </w:rPr>
        <w:t xml:space="preserve"> </w:t>
      </w:r>
      <w:r>
        <w:rPr>
          <w:rFonts w:cs="Calibri"/>
        </w:rPr>
        <w:t>ü</w:t>
      </w:r>
      <w:r>
        <w:rPr>
          <w:rFonts w:cs="Calibri"/>
        </w:rPr>
        <w:t>ber das Fernunterrichtswesen vo</w:t>
      </w:r>
      <w:r>
        <w:rPr>
          <w:rStyle w:val="link"/>
          <w:color w:val="000000"/>
        </w:rPr>
        <w:t>m 12. M</w:t>
      </w:r>
      <w:r>
        <w:rPr>
          <w:rStyle w:val="link"/>
          <w:color w:val="000000"/>
        </w:rPr>
        <w:t>ä</w:t>
      </w:r>
      <w:r>
        <w:rPr>
          <w:rStyle w:val="link"/>
          <w:color w:val="000000"/>
        </w:rPr>
        <w:t>rz 1979 (SGV. NRW. 223)</w:t>
      </w:r>
      <w:r>
        <w:rPr>
          <w:rFonts w:cs="Calibri"/>
        </w:rPr>
        <w:t>.</w:t>
      </w:r>
    </w:p>
    <w:p w14:paraId="757229CC" w14:textId="77777777" w:rsidR="00CA38F6" w:rsidRDefault="00CA38F6">
      <w:pPr>
        <w:pStyle w:val="RVueberschrift285fz"/>
        <w:keepNext/>
        <w:keepLines/>
        <w:rPr>
          <w:rFonts w:cs="Calibri"/>
        </w:rPr>
      </w:pPr>
      <w:r>
        <w:rPr>
          <w:rFonts w:cs="Calibri"/>
        </w:rPr>
        <w:t>4 Bescheinigungen gem</w:t>
      </w:r>
      <w:r>
        <w:rPr>
          <w:rFonts w:cs="Calibri"/>
        </w:rPr>
        <w:t>äß</w:t>
      </w:r>
      <w:r>
        <w:rPr>
          <w:rFonts w:cs="Calibri"/>
        </w:rPr>
        <w:t xml:space="preserve"> Nr. 1 </w:t>
      </w:r>
      <w:r>
        <w:rPr>
          <w:rFonts w:cs="Calibri"/>
        </w:rPr>
        <w:br/>
        <w:t>(</w:t>
      </w:r>
      <w:r>
        <w:rPr>
          <w:rFonts w:cs="Calibri"/>
        </w:rPr>
        <w:t>§</w:t>
      </w:r>
      <w:r>
        <w:rPr>
          <w:rFonts w:cs="Calibri"/>
        </w:rPr>
        <w:t xml:space="preserve"> 4 Nr. 20 Buchstabe a </w:t>
      </w:r>
      <w:hyperlink r:id="rId11" w:history="1">
        <w:r>
          <w:rPr>
            <w:rFonts w:cs="Calibri"/>
          </w:rPr>
          <w:t>UStG</w:t>
        </w:r>
      </w:hyperlink>
      <w:r>
        <w:t>)</w:t>
      </w:r>
    </w:p>
    <w:p w14:paraId="37BA6D1F" w14:textId="77777777" w:rsidR="00CA38F6" w:rsidRDefault="00CA38F6">
      <w:pPr>
        <w:pStyle w:val="RVfliesstext175nb"/>
        <w:widowControl/>
        <w:rPr>
          <w:rFonts w:cs="Calibri"/>
        </w:rPr>
      </w:pPr>
      <w:r>
        <w:t>Die kulturelle Vergleichbarkeit der Einrichtungen privater Unternehmer mit den Einrichtungen der Gebietsk</w:t>
      </w:r>
      <w:r>
        <w:t>ö</w:t>
      </w:r>
      <w:r>
        <w:t>rperschaften</w:t>
      </w:r>
      <w:r>
        <w:rPr>
          <w:rStyle w:val="FootnoteReference"/>
          <w:rFonts w:ascii="Arial" w:hAnsi="Arial" w:cs="Calibri"/>
        </w:rPr>
        <w:footnoteReference w:id="3"/>
      </w:r>
      <w:r>
        <w:rPr>
          <w:rFonts w:cs="Calibri"/>
        </w:rPr>
        <w:t xml:space="preserve"> ist durch geeignete Unterlagen </w:t>
      </w:r>
      <w:r>
        <w:t>(</w:t>
      </w:r>
      <w:r>
        <w:rPr>
          <w:rFonts w:cs="Calibri"/>
        </w:rPr>
        <w:t>z</w:t>
      </w:r>
      <w:r>
        <w:t>.</w:t>
      </w:r>
      <w:r>
        <w:rPr>
          <w:rFonts w:cs="Calibri"/>
        </w:rPr>
        <w:t>B</w:t>
      </w:r>
      <w:r>
        <w:t>.</w:t>
      </w:r>
      <w:r>
        <w:rPr>
          <w:rFonts w:cs="Calibri"/>
        </w:rPr>
        <w:t xml:space="preserve"> Programme</w:t>
      </w:r>
      <w:r>
        <w:t>,</w:t>
      </w:r>
      <w:r>
        <w:rPr>
          <w:rFonts w:cs="Calibri"/>
        </w:rPr>
        <w:t xml:space="preserve"> Spielpl</w:t>
      </w:r>
      <w:r>
        <w:rPr>
          <w:rFonts w:cs="Calibri"/>
        </w:rPr>
        <w:t>ä</w:t>
      </w:r>
      <w:r>
        <w:rPr>
          <w:rFonts w:cs="Calibri"/>
        </w:rPr>
        <w:t>ne</w:t>
      </w:r>
      <w:r>
        <w:t>,</w:t>
      </w:r>
      <w:r>
        <w:rPr>
          <w:rFonts w:cs="Calibri"/>
        </w:rPr>
        <w:t xml:space="preserve"> Presserezensionen</w:t>
      </w:r>
      <w:r>
        <w:t>)</w:t>
      </w:r>
      <w:r>
        <w:rPr>
          <w:rFonts w:cs="Calibri"/>
        </w:rPr>
        <w:t xml:space="preserve"> nachzuweisen</w:t>
      </w:r>
      <w:r>
        <w:t>.</w:t>
      </w:r>
    </w:p>
    <w:p w14:paraId="05F91B67" w14:textId="77777777" w:rsidR="00CA38F6" w:rsidRDefault="00CA38F6">
      <w:pPr>
        <w:pStyle w:val="RVfliesstext175nb"/>
        <w:widowControl/>
        <w:rPr>
          <w:rFonts w:cs="Calibri"/>
        </w:rPr>
      </w:pPr>
      <w:r>
        <w:t>Bei freien Theatergruppen ist Voraussetzung f</w:t>
      </w:r>
      <w:r>
        <w:t>ü</w:t>
      </w:r>
      <w:r>
        <w:t>r die Vergleichbarkeit, dass</w:t>
      </w:r>
    </w:p>
    <w:p w14:paraId="409CE96D" w14:textId="77777777" w:rsidR="00CA38F6" w:rsidRDefault="00CA38F6">
      <w:pPr>
        <w:pStyle w:val="RVliste3u75nb"/>
        <w:widowControl/>
        <w:tabs>
          <w:tab w:val="clear" w:pos="720"/>
        </w:tabs>
        <w:rPr>
          <w:rFonts w:cs="Calibri"/>
        </w:rPr>
      </w:pPr>
      <w:r>
        <w:t>-</w:t>
      </w:r>
      <w:r>
        <w:tab/>
      </w:r>
      <w:r>
        <w:t>die freie Gruppe einen festen Kern von Schauspielerinnen und Schauspielern nachweist,</w:t>
      </w:r>
    </w:p>
    <w:p w14:paraId="5EB3DE7A" w14:textId="77777777" w:rsidR="00CA38F6" w:rsidRDefault="00CA38F6">
      <w:pPr>
        <w:pStyle w:val="RVliste3u75nb"/>
        <w:widowControl/>
        <w:tabs>
          <w:tab w:val="clear" w:pos="720"/>
        </w:tabs>
        <w:rPr>
          <w:rFonts w:cs="Calibri"/>
        </w:rPr>
      </w:pPr>
      <w:r>
        <w:t>-</w:t>
      </w:r>
      <w:r>
        <w:tab/>
        <w:t xml:space="preserve">die Gruppe in der Regel </w:t>
      </w:r>
      <w:r>
        <w:t>ü</w:t>
      </w:r>
      <w:r>
        <w:t>ber einen Mindestzeitraum von einem Jahr kontinuierlich gespielt hat,</w:t>
      </w:r>
    </w:p>
    <w:p w14:paraId="356ACD08" w14:textId="77777777" w:rsidR="00CA38F6" w:rsidRDefault="00CA38F6">
      <w:pPr>
        <w:pStyle w:val="RVliste3u75nb"/>
        <w:widowControl/>
        <w:tabs>
          <w:tab w:val="clear" w:pos="720"/>
        </w:tabs>
        <w:rPr>
          <w:rFonts w:cs="Calibri"/>
        </w:rPr>
      </w:pPr>
      <w:r>
        <w:t>-</w:t>
      </w:r>
      <w:r>
        <w:tab/>
        <w:t xml:space="preserve">die Gruppe, soweit kein eigener Theaterraum vorhanden ist, </w:t>
      </w:r>
      <w:r>
        <w:t>ü</w:t>
      </w:r>
      <w:r>
        <w:t>ber einen Proberaum verf</w:t>
      </w:r>
      <w:r>
        <w:t>ü</w:t>
      </w:r>
      <w:r>
        <w:t>gt,</w:t>
      </w:r>
    </w:p>
    <w:p w14:paraId="5D487629" w14:textId="77777777" w:rsidR="00CA38F6" w:rsidRDefault="00CA38F6">
      <w:pPr>
        <w:pStyle w:val="RVliste3u75nb"/>
        <w:widowControl/>
        <w:tabs>
          <w:tab w:val="clear" w:pos="720"/>
        </w:tabs>
        <w:rPr>
          <w:rFonts w:cs="Calibri"/>
        </w:rPr>
      </w:pPr>
      <w:r>
        <w:t>-</w:t>
      </w:r>
      <w:r>
        <w:tab/>
        <w:t>die gespielten St</w:t>
      </w:r>
      <w:r>
        <w:t>ü</w:t>
      </w:r>
      <w:r>
        <w:t>cke zumindest theater</w:t>
      </w:r>
      <w:r>
        <w:t>ä</w:t>
      </w:r>
      <w:r>
        <w:t>hnlich sind (kein Varietee).</w:t>
      </w:r>
    </w:p>
    <w:p w14:paraId="3FE9DCF5" w14:textId="77777777" w:rsidR="00CA38F6" w:rsidRDefault="00CA38F6">
      <w:pPr>
        <w:pStyle w:val="RVfliesstext175nb"/>
        <w:widowControl/>
        <w:rPr>
          <w:rFonts w:cs="Calibri"/>
        </w:rPr>
      </w:pPr>
      <w:r>
        <w:t>Als Indizien f</w:t>
      </w:r>
      <w:r>
        <w:t>ü</w:t>
      </w:r>
      <w:r>
        <w:t>r eine kontinuierliche und ernsthafte Theaterarbeit gelten die Zusammenarbeit mit kommunalen oder privaten Theatern, die Verpflichtungen durch Kommunen oder die Zusammenarbeit mit den Kultursekretariaten in Wuppertal und G</w:t>
      </w:r>
      <w:r>
        <w:t>ü</w:t>
      </w:r>
      <w:r>
        <w:t>tersloh.</w:t>
      </w:r>
    </w:p>
    <w:p w14:paraId="09CE8996" w14:textId="77777777" w:rsidR="00CA38F6" w:rsidRDefault="00CA38F6">
      <w:pPr>
        <w:pStyle w:val="RVfliesstext175nb"/>
        <w:widowControl/>
        <w:rPr>
          <w:rFonts w:cs="Calibri"/>
        </w:rPr>
      </w:pPr>
      <w:r>
        <w:t>Als beg</w:t>
      </w:r>
      <w:r>
        <w:t>ü</w:t>
      </w:r>
      <w:r>
        <w:t>nstigte kulturelle Einrichtung k</w:t>
      </w:r>
      <w:r>
        <w:t>ö</w:t>
      </w:r>
      <w:r>
        <w:t>nnen auch aus</w:t>
      </w:r>
      <w:r>
        <w:t>ü</w:t>
      </w:r>
      <w:r>
        <w:t>bende Einzelk</w:t>
      </w:r>
      <w:r>
        <w:t>ü</w:t>
      </w:r>
      <w:r>
        <w:t>nstlerinnen und Einzelk</w:t>
      </w:r>
      <w:r>
        <w:t>ü</w:t>
      </w:r>
      <w:r>
        <w:t>nstler angesehen werden (z.B. Instrumental- oder Gesangs-Solisten). Selbstst</w:t>
      </w:r>
      <w:r>
        <w:t>ä</w:t>
      </w:r>
      <w:r>
        <w:t>ndigen Dirigentinnen und Dirigenten sowie Regisseurinnen und Regisseuren wird von der Finanzverwaltung keine Umsatzsteuerbefreiung gew</w:t>
      </w:r>
      <w:r>
        <w:t>ä</w:t>
      </w:r>
      <w:r>
        <w:t>hrt.</w:t>
      </w:r>
    </w:p>
    <w:p w14:paraId="5380E628" w14:textId="77777777" w:rsidR="00CA38F6" w:rsidRDefault="00CA38F6">
      <w:pPr>
        <w:pStyle w:val="RVueberschrift285fz"/>
        <w:keepNext/>
        <w:keepLines/>
      </w:pPr>
      <w:r>
        <w:t>5 Bescheinigungen gem</w:t>
      </w:r>
      <w:r>
        <w:t>äß</w:t>
      </w:r>
      <w:r>
        <w:t xml:space="preserve"> Nr. 2 </w:t>
      </w:r>
      <w:r>
        <w:br/>
        <w:t>(</w:t>
      </w:r>
      <w:r>
        <w:t>§</w:t>
      </w:r>
      <w:r>
        <w:t xml:space="preserve"> 4 Nr. 21 Buchstabe a </w:t>
      </w:r>
      <w:hyperlink r:id="rId12" w:history="1">
        <w:r>
          <w:t>UStG</w:t>
        </w:r>
      </w:hyperlink>
      <w:r>
        <w:rPr>
          <w:rFonts w:cs="Calibri"/>
        </w:rPr>
        <w:t>)</w:t>
      </w:r>
    </w:p>
    <w:p w14:paraId="130A5BE2" w14:textId="77777777" w:rsidR="00CA38F6" w:rsidRDefault="00CA38F6">
      <w:pPr>
        <w:pStyle w:val="RVfliesstext175nb"/>
        <w:widowControl/>
      </w:pPr>
      <w:r>
        <w:rPr>
          <w:rFonts w:cs="Calibri"/>
        </w:rPr>
        <w:t>5.1 Tr</w:t>
      </w:r>
      <w:r>
        <w:rPr>
          <w:rFonts w:cs="Calibri"/>
        </w:rPr>
        <w:t>ä</w:t>
      </w:r>
      <w:r>
        <w:rPr>
          <w:rFonts w:cs="Calibri"/>
        </w:rPr>
        <w:t>ger von Erg</w:t>
      </w:r>
      <w:r>
        <w:rPr>
          <w:rFonts w:cs="Calibri"/>
        </w:rPr>
        <w:t>ä</w:t>
      </w:r>
      <w:r>
        <w:rPr>
          <w:rFonts w:cs="Calibri"/>
        </w:rPr>
        <w:t>nzungsschulen und anderen allgemein bildenden oder berufsbildenden Einrichtungen ben</w:t>
      </w:r>
      <w:r>
        <w:rPr>
          <w:rFonts w:cs="Calibri"/>
        </w:rPr>
        <w:t>ö</w:t>
      </w:r>
      <w:r>
        <w:rPr>
          <w:rFonts w:cs="Calibri"/>
        </w:rPr>
        <w:t xml:space="preserve">tigen, sofern sie keine Ersatzschule im Sinne des </w:t>
      </w:r>
      <w:r>
        <w:rPr>
          <w:rFonts w:cs="Calibri"/>
        </w:rPr>
        <w:t>§</w:t>
      </w:r>
      <w:r>
        <w:rPr>
          <w:rFonts w:cs="Calibri"/>
        </w:rPr>
        <w:t xml:space="preserve"> 4 Nr. 21 Buchstabe a Doppelbuchstabe aa </w:t>
      </w:r>
      <w:hyperlink r:id="rId13" w:history="1">
        <w:r>
          <w:rPr>
            <w:rFonts w:cs="Calibri"/>
          </w:rPr>
          <w:t>UStG</w:t>
        </w:r>
      </w:hyperlink>
      <w:r>
        <w:t xml:space="preserve"> betreiben, nach </w:t>
      </w:r>
      <w:r>
        <w:t>§</w:t>
      </w:r>
      <w:r>
        <w:t xml:space="preserve"> 4 Nr. 21 Buchstabe a Doppelbuchstabe bb </w:t>
      </w:r>
      <w:hyperlink r:id="rId14" w:history="1">
        <w:r>
          <w:t>UStG</w:t>
        </w:r>
      </w:hyperlink>
      <w:r>
        <w:rPr>
          <w:rFonts w:cs="Calibri"/>
        </w:rPr>
        <w:t xml:space="preserve"> zur Inanspruchnahme der Umsatzsteuerbefreiung eine Bescheinigung der zust</w:t>
      </w:r>
      <w:r>
        <w:rPr>
          <w:rFonts w:cs="Calibri"/>
        </w:rPr>
        <w:t>ä</w:t>
      </w:r>
      <w:r>
        <w:rPr>
          <w:rFonts w:cs="Calibri"/>
        </w:rPr>
        <w:t>ndigen Landesbeh</w:t>
      </w:r>
      <w:r>
        <w:rPr>
          <w:rFonts w:cs="Calibri"/>
        </w:rPr>
        <w:t>ö</w:t>
      </w:r>
      <w:r>
        <w:rPr>
          <w:rFonts w:cs="Calibri"/>
        </w:rPr>
        <w:t xml:space="preserve">rde. Aus dieser muss sich ergeben, dass die Unterrichtsleistungen auf einen Beruf oder auf eine vor einer juristischen </w:t>
      </w:r>
      <w:r>
        <w:rPr>
          <w:rFonts w:cs="Calibri"/>
        </w:rPr>
        <w:t xml:space="preserve">Person des </w:t>
      </w:r>
      <w:r>
        <w:rPr>
          <w:rFonts w:cs="Calibri"/>
        </w:rPr>
        <w:t>ö</w:t>
      </w:r>
      <w:r>
        <w:rPr>
          <w:rFonts w:cs="Calibri"/>
        </w:rPr>
        <w:t>ffentlichen Rechts abzulegende Pr</w:t>
      </w:r>
      <w:r>
        <w:rPr>
          <w:rFonts w:cs="Calibri"/>
        </w:rPr>
        <w:t>ü</w:t>
      </w:r>
      <w:r>
        <w:rPr>
          <w:rFonts w:cs="Calibri"/>
        </w:rPr>
        <w:t>fung ordnungsgem</w:t>
      </w:r>
      <w:r>
        <w:rPr>
          <w:rFonts w:cs="Calibri"/>
        </w:rPr>
        <w:t>äß</w:t>
      </w:r>
      <w:r>
        <w:rPr>
          <w:rFonts w:cs="Calibri"/>
        </w:rPr>
        <w:t xml:space="preserve"> vorbereiten.</w:t>
      </w:r>
    </w:p>
    <w:p w14:paraId="0F73AE4B" w14:textId="77777777" w:rsidR="00CA38F6" w:rsidRDefault="00CA38F6">
      <w:pPr>
        <w:pStyle w:val="RVfliesstext175nb"/>
        <w:widowControl/>
      </w:pPr>
      <w:r>
        <w:rPr>
          <w:rFonts w:cs="Calibri"/>
        </w:rPr>
        <w:t>5.2 Auf die Rechtsform des Tr</w:t>
      </w:r>
      <w:r>
        <w:rPr>
          <w:rFonts w:cs="Calibri"/>
        </w:rPr>
        <w:t>ä</w:t>
      </w:r>
      <w:r>
        <w:rPr>
          <w:rFonts w:cs="Calibri"/>
        </w:rPr>
        <w:t>gers einer Erg</w:t>
      </w:r>
      <w:r>
        <w:rPr>
          <w:rFonts w:cs="Calibri"/>
        </w:rPr>
        <w:t>ä</w:t>
      </w:r>
      <w:r>
        <w:rPr>
          <w:rFonts w:cs="Calibri"/>
        </w:rPr>
        <w:t>nzungsschule oder einer allgemein bildenden oder berufsbildenden Einrichtung kommt es nicht an. Es k</w:t>
      </w:r>
      <w:r>
        <w:rPr>
          <w:rFonts w:cs="Calibri"/>
        </w:rPr>
        <w:t>ö</w:t>
      </w:r>
      <w:r>
        <w:rPr>
          <w:rFonts w:cs="Calibri"/>
        </w:rPr>
        <w:t>nnen deshalb auch nat</w:t>
      </w:r>
      <w:r>
        <w:rPr>
          <w:rFonts w:cs="Calibri"/>
        </w:rPr>
        <w:t>ü</w:t>
      </w:r>
      <w:r>
        <w:rPr>
          <w:rFonts w:cs="Calibri"/>
        </w:rPr>
        <w:t>rliche Personen oder Personenzusammenschl</w:t>
      </w:r>
      <w:r>
        <w:rPr>
          <w:rFonts w:cs="Calibri"/>
        </w:rPr>
        <w:t>ü</w:t>
      </w:r>
      <w:r>
        <w:rPr>
          <w:rFonts w:cs="Calibri"/>
        </w:rPr>
        <w:t>sse beg</w:t>
      </w:r>
      <w:r>
        <w:rPr>
          <w:rFonts w:cs="Calibri"/>
        </w:rPr>
        <w:t>ü</w:t>
      </w:r>
      <w:r>
        <w:rPr>
          <w:rFonts w:cs="Calibri"/>
        </w:rPr>
        <w:t>nstigt sein, wenn neben den personellen auch die organisatorischen und s</w:t>
      </w:r>
      <w:r>
        <w:rPr>
          <w:rFonts w:cs="Calibri"/>
        </w:rPr>
        <w:t>ä</w:t>
      </w:r>
      <w:r>
        <w:rPr>
          <w:rFonts w:cs="Calibri"/>
        </w:rPr>
        <w:t>chlichen Voraussetzungen vorliegen, um einen Unterricht zu erm</w:t>
      </w:r>
      <w:r>
        <w:rPr>
          <w:rFonts w:cs="Calibri"/>
        </w:rPr>
        <w:t>ö</w:t>
      </w:r>
      <w:r>
        <w:rPr>
          <w:rFonts w:cs="Calibri"/>
        </w:rPr>
        <w:t>glichen.</w:t>
      </w:r>
    </w:p>
    <w:p w14:paraId="63F227C5" w14:textId="77777777" w:rsidR="00CA38F6" w:rsidRDefault="00CA38F6">
      <w:pPr>
        <w:pStyle w:val="RVfliesstext175nb"/>
        <w:widowControl/>
      </w:pPr>
      <w:r>
        <w:rPr>
          <w:rFonts w:cs="Calibri"/>
        </w:rPr>
        <w:t>Eine selbstst</w:t>
      </w:r>
      <w:r>
        <w:rPr>
          <w:rFonts w:cs="Calibri"/>
        </w:rPr>
        <w:t>ä</w:t>
      </w:r>
      <w:r>
        <w:rPr>
          <w:rFonts w:cs="Calibri"/>
        </w:rPr>
        <w:t>ndige Lehrerin oder ein selbstst</w:t>
      </w:r>
      <w:r>
        <w:rPr>
          <w:rFonts w:cs="Calibri"/>
        </w:rPr>
        <w:t>ä</w:t>
      </w:r>
      <w:r>
        <w:rPr>
          <w:rFonts w:cs="Calibri"/>
        </w:rPr>
        <w:t>ndiger Lehrer ist Tr</w:t>
      </w:r>
      <w:r>
        <w:rPr>
          <w:rFonts w:cs="Calibri"/>
        </w:rPr>
        <w:t>ä</w:t>
      </w:r>
      <w:r>
        <w:rPr>
          <w:rFonts w:cs="Calibri"/>
        </w:rPr>
        <w:t>ger einer Bildungseinrichtung, wenn sie oder er selbst entgeltliche Unterrichtsleistungen gegen</w:t>
      </w:r>
      <w:r>
        <w:rPr>
          <w:rFonts w:cs="Calibri"/>
        </w:rPr>
        <w:t>ü</w:t>
      </w:r>
      <w:r>
        <w:rPr>
          <w:rFonts w:cs="Calibri"/>
        </w:rPr>
        <w:t>ber den Vertragspartnern (z.B. Sch</w:t>
      </w:r>
      <w:r>
        <w:rPr>
          <w:rFonts w:cs="Calibri"/>
        </w:rPr>
        <w:t>ü</w:t>
      </w:r>
      <w:r>
        <w:rPr>
          <w:rFonts w:cs="Calibri"/>
        </w:rPr>
        <w:t>lerinnen oder Sch</w:t>
      </w:r>
      <w:r>
        <w:rPr>
          <w:rFonts w:cs="Calibri"/>
        </w:rPr>
        <w:t>ü</w:t>
      </w:r>
      <w:r>
        <w:rPr>
          <w:rFonts w:cs="Calibri"/>
        </w:rPr>
        <w:t>ler, Studentinnen oder Studenten, Berufst</w:t>
      </w:r>
      <w:r>
        <w:rPr>
          <w:rFonts w:cs="Calibri"/>
        </w:rPr>
        <w:t>ä</w:t>
      </w:r>
      <w:r>
        <w:rPr>
          <w:rFonts w:cs="Calibri"/>
        </w:rPr>
        <w:t>tige oder Arbeitgeber) anbietet. Dies erfordert ein festliegendes Lehrprogramm und Lehrpl</w:t>
      </w:r>
      <w:r>
        <w:rPr>
          <w:rFonts w:cs="Calibri"/>
        </w:rPr>
        <w:t>ä</w:t>
      </w:r>
      <w:r>
        <w:rPr>
          <w:rFonts w:cs="Calibri"/>
        </w:rPr>
        <w:t>ne zur Vermittlung eines Unterrichtsstoffes f</w:t>
      </w:r>
      <w:r>
        <w:rPr>
          <w:rFonts w:cs="Calibri"/>
        </w:rPr>
        <w:t>ü</w:t>
      </w:r>
      <w:r>
        <w:rPr>
          <w:rFonts w:cs="Calibri"/>
        </w:rPr>
        <w:t>r die Erreichung eines bestimmten Lehrgangszieles sowie geeignete Unterrichtsr</w:t>
      </w:r>
      <w:r>
        <w:rPr>
          <w:rFonts w:cs="Calibri"/>
        </w:rPr>
        <w:t>ä</w:t>
      </w:r>
      <w:r>
        <w:rPr>
          <w:rFonts w:cs="Calibri"/>
        </w:rPr>
        <w:t>ume oder -vorrichtungen. Der Betrieb der Bildungseinrichtung muss auf eine gewisse Dauer angelegt sein. Die Einrichtung braucht im Rahmen ihres Lehrprogramms keinen eigenen Lehrstoff anzubieten. Es reicht aus, wenn sich die Leistung auf eine Unterst</w:t>
      </w:r>
      <w:r>
        <w:rPr>
          <w:rFonts w:cs="Calibri"/>
        </w:rPr>
        <w:t>ü</w:t>
      </w:r>
      <w:r>
        <w:rPr>
          <w:rFonts w:cs="Calibri"/>
        </w:rPr>
        <w:t>tzung des Schul- oder Hochschulangebots oder auf die Verarbeitung oder Repetition des von der Schule angebotenen Stoffes beschr</w:t>
      </w:r>
      <w:r>
        <w:rPr>
          <w:rFonts w:cs="Calibri"/>
        </w:rPr>
        <w:t>ä</w:t>
      </w:r>
      <w:r>
        <w:rPr>
          <w:rFonts w:cs="Calibri"/>
        </w:rPr>
        <w:t>nkt. Die Veranstaltung einzelner Vortr</w:t>
      </w:r>
      <w:r>
        <w:rPr>
          <w:rFonts w:cs="Calibri"/>
        </w:rPr>
        <w:t>ä</w:t>
      </w:r>
      <w:r>
        <w:rPr>
          <w:rFonts w:cs="Calibri"/>
        </w:rPr>
        <w:t>ge oder einer Vortragsreihe erf</w:t>
      </w:r>
      <w:r>
        <w:rPr>
          <w:rFonts w:cs="Calibri"/>
        </w:rPr>
        <w:t>ü</w:t>
      </w:r>
      <w:r>
        <w:rPr>
          <w:rFonts w:cs="Calibri"/>
        </w:rPr>
        <w:t>llt dagegen nicht die Voraussetzungen einer Unterrichtsleistung. Hingegen ist die Einbindung von Vortr</w:t>
      </w:r>
      <w:r>
        <w:rPr>
          <w:rFonts w:cs="Calibri"/>
        </w:rPr>
        <w:t>ä</w:t>
      </w:r>
      <w:r>
        <w:rPr>
          <w:rFonts w:cs="Calibri"/>
        </w:rPr>
        <w:t>gen in ein Lehrprogramm f</w:t>
      </w:r>
      <w:r>
        <w:rPr>
          <w:rFonts w:cs="Calibri"/>
        </w:rPr>
        <w:t>ü</w:t>
      </w:r>
      <w:r>
        <w:rPr>
          <w:rFonts w:cs="Calibri"/>
        </w:rPr>
        <w:t>r die Befreiung unsch</w:t>
      </w:r>
      <w:r>
        <w:rPr>
          <w:rFonts w:cs="Calibri"/>
        </w:rPr>
        <w:t>ä</w:t>
      </w:r>
      <w:r>
        <w:rPr>
          <w:rFonts w:cs="Calibri"/>
        </w:rPr>
        <w:t>dlich.</w:t>
      </w:r>
    </w:p>
    <w:p w14:paraId="5BEC9711" w14:textId="77777777" w:rsidR="00CA38F6" w:rsidRDefault="00CA38F6">
      <w:pPr>
        <w:pStyle w:val="RVfliesstext175nb"/>
        <w:widowControl/>
        <w:rPr>
          <w:rFonts w:cs="Calibri"/>
        </w:rPr>
      </w:pPr>
      <w:r>
        <w:rPr>
          <w:rFonts w:cs="Calibri"/>
        </w:rPr>
        <w:t xml:space="preserve">5.3 Eine Bescheinigung nach </w:t>
      </w:r>
      <w:r>
        <w:rPr>
          <w:rFonts w:cs="Calibri"/>
        </w:rPr>
        <w:t>§</w:t>
      </w:r>
      <w:r>
        <w:rPr>
          <w:rFonts w:cs="Calibri"/>
        </w:rPr>
        <w:t xml:space="preserve"> 4 Nr. 21 Buchstabe a Doppelbuchstabe bb </w:t>
      </w:r>
      <w:hyperlink r:id="rId15" w:history="1">
        <w:r>
          <w:rPr>
            <w:rFonts w:cs="Calibri"/>
          </w:rPr>
          <w:t>UStG</w:t>
        </w:r>
      </w:hyperlink>
      <w:r>
        <w:t xml:space="preserve"> k</w:t>
      </w:r>
      <w:r>
        <w:t>ö</w:t>
      </w:r>
      <w:r>
        <w:t>nnen auch Tr</w:t>
      </w:r>
      <w:r>
        <w:t>ä</w:t>
      </w:r>
      <w:r>
        <w:t>ger von Einrichtungen erhalten, die diese Bescheinigung nicht f</w:t>
      </w:r>
      <w:r>
        <w:t>ü</w:t>
      </w:r>
      <w:r>
        <w:t>r eigene Umsatzsteuerzwecke ben</w:t>
      </w:r>
      <w:r>
        <w:t>ö</w:t>
      </w:r>
      <w:r>
        <w:t>tigen, sondern f</w:t>
      </w:r>
      <w:r>
        <w:t>ü</w:t>
      </w:r>
      <w:r>
        <w:t>r eine Umsatzsteuerbefreiung der Unterrichtsleistungen der bei ihnen t</w:t>
      </w:r>
      <w:r>
        <w:t>ä</w:t>
      </w:r>
      <w:r>
        <w:t xml:space="preserve">tigen freien Mitarbeiterinnen und Mitarbeiter, die die Voraussetzungen einer Umsatzsteuerbefreiung nach </w:t>
      </w:r>
      <w:r>
        <w:t>§</w:t>
      </w:r>
      <w:r>
        <w:t xml:space="preserve"> 4 Nr. 21 Buchstabe b </w:t>
      </w:r>
      <w:hyperlink r:id="rId16" w:history="1">
        <w:r>
          <w:t>UStG</w:t>
        </w:r>
      </w:hyperlink>
      <w:r>
        <w:rPr>
          <w:rFonts w:cs="Calibri"/>
        </w:rPr>
        <w:t xml:space="preserve"> erf</w:t>
      </w:r>
      <w:r>
        <w:rPr>
          <w:rFonts w:cs="Calibri"/>
        </w:rPr>
        <w:t>ü</w:t>
      </w:r>
      <w:r>
        <w:rPr>
          <w:rFonts w:cs="Calibri"/>
        </w:rPr>
        <w:t xml:space="preserve">llen. Diesen kann keine Bescheinigung nach </w:t>
      </w:r>
      <w:r>
        <w:rPr>
          <w:rFonts w:cs="Calibri"/>
        </w:rPr>
        <w:t>§</w:t>
      </w:r>
      <w:r>
        <w:rPr>
          <w:rFonts w:cs="Calibri"/>
        </w:rPr>
        <w:t xml:space="preserve"> 4 Nr. 21 Buchstabe a Doppelbuchstabe bb </w:t>
      </w:r>
      <w:hyperlink r:id="rId17" w:history="1">
        <w:r>
          <w:rPr>
            <w:rFonts w:cs="Calibri"/>
          </w:rPr>
          <w:t>UStG</w:t>
        </w:r>
      </w:hyperlink>
      <w:r>
        <w:t xml:space="preserve"> durch die nach Nr. 3 zust</w:t>
      </w:r>
      <w:r>
        <w:t>ä</w:t>
      </w:r>
      <w:r>
        <w:t>ndige Landesbeh</w:t>
      </w:r>
      <w:r>
        <w:t>ö</w:t>
      </w:r>
      <w:r>
        <w:t>rde erteilt werden.</w:t>
      </w:r>
    </w:p>
    <w:p w14:paraId="1E6C5399" w14:textId="77777777" w:rsidR="00CA38F6" w:rsidRDefault="00CA38F6">
      <w:pPr>
        <w:pStyle w:val="RVfliesstext175nb"/>
        <w:widowControl/>
      </w:pPr>
      <w:r>
        <w:t xml:space="preserve">5.4 Beruf im Sinne der Umsatzsteuerbefreiung nach </w:t>
      </w:r>
      <w:r>
        <w:t>§</w:t>
      </w:r>
      <w:r>
        <w:t xml:space="preserve"> 4 Nr. 21 Buchstabe a </w:t>
      </w:r>
      <w:hyperlink r:id="rId18" w:history="1">
        <w:r>
          <w:t>UStG</w:t>
        </w:r>
      </w:hyperlink>
      <w:r>
        <w:rPr>
          <w:rFonts w:cs="Calibri"/>
        </w:rPr>
        <w:t xml:space="preserve"> ist nicht nur ein staatlich anerkannter Ausbildungsberuf. Die Vorbereitung auf einen Beruf umfasst die berufliche Ausbildung, die berufliche Fortbildung sowie die berufliche Umschulung, unabh</w:t>
      </w:r>
      <w:r>
        <w:rPr>
          <w:rFonts w:cs="Calibri"/>
        </w:rPr>
        <w:t>ä</w:t>
      </w:r>
      <w:r>
        <w:rPr>
          <w:rFonts w:cs="Calibri"/>
        </w:rPr>
        <w:t>ngig davon, ob in diesem Rahmen Pr</w:t>
      </w:r>
      <w:r>
        <w:rPr>
          <w:rFonts w:cs="Calibri"/>
        </w:rPr>
        <w:t>ü</w:t>
      </w:r>
      <w:r>
        <w:rPr>
          <w:rFonts w:cs="Calibri"/>
        </w:rPr>
        <w:t>fungen stattfinden.</w:t>
      </w:r>
    </w:p>
    <w:p w14:paraId="3CCFE80D" w14:textId="77777777" w:rsidR="00CA38F6" w:rsidRDefault="00CA38F6">
      <w:pPr>
        <w:pStyle w:val="RVfliesstext175nb"/>
        <w:widowControl/>
      </w:pPr>
      <w:r>
        <w:rPr>
          <w:rFonts w:cs="Calibri"/>
        </w:rPr>
        <w:t>Vorbereitung auf eine Pr</w:t>
      </w:r>
      <w:r>
        <w:rPr>
          <w:rFonts w:cs="Calibri"/>
        </w:rPr>
        <w:t>ü</w:t>
      </w:r>
      <w:r>
        <w:rPr>
          <w:rFonts w:cs="Calibri"/>
        </w:rPr>
        <w:t>fung ist der engere Begriff gegen</w:t>
      </w:r>
      <w:r>
        <w:rPr>
          <w:rFonts w:cs="Calibri"/>
        </w:rPr>
        <w:t>ü</w:t>
      </w:r>
      <w:r>
        <w:rPr>
          <w:rFonts w:cs="Calibri"/>
        </w:rPr>
        <w:t>ber der Berufsvorbereitung; Pr</w:t>
      </w:r>
      <w:r>
        <w:rPr>
          <w:rFonts w:cs="Calibri"/>
        </w:rPr>
        <w:t>ü</w:t>
      </w:r>
      <w:r>
        <w:rPr>
          <w:rFonts w:cs="Calibri"/>
        </w:rPr>
        <w:t>fung im Sinne dieser Vorschrift ist nur eine Pr</w:t>
      </w:r>
      <w:r>
        <w:rPr>
          <w:rFonts w:cs="Calibri"/>
        </w:rPr>
        <w:t>ü</w:t>
      </w:r>
      <w:r>
        <w:rPr>
          <w:rFonts w:cs="Calibri"/>
        </w:rPr>
        <w:t>fung im allgemein bildenden Bereich.</w:t>
      </w:r>
    </w:p>
    <w:p w14:paraId="0F0621E7" w14:textId="77777777" w:rsidR="00CA38F6" w:rsidRDefault="00CA38F6">
      <w:pPr>
        <w:pStyle w:val="RVfliesstext175nb"/>
        <w:widowControl/>
      </w:pPr>
      <w:r>
        <w:rPr>
          <w:rFonts w:cs="Calibri"/>
        </w:rPr>
        <w:t>5.5 Von der beg</w:t>
      </w:r>
      <w:r>
        <w:rPr>
          <w:rFonts w:cs="Calibri"/>
        </w:rPr>
        <w:t>ü</w:t>
      </w:r>
      <w:r>
        <w:rPr>
          <w:rFonts w:cs="Calibri"/>
        </w:rPr>
        <w:t>nstigten zielgerichteten und systematischen Berufs- und Pr</w:t>
      </w:r>
      <w:r>
        <w:rPr>
          <w:rFonts w:cs="Calibri"/>
        </w:rPr>
        <w:t>ü</w:t>
      </w:r>
      <w:r>
        <w:rPr>
          <w:rFonts w:cs="Calibri"/>
        </w:rPr>
        <w:t>fungsvorbereitung sind Ma</w:t>
      </w:r>
      <w:r>
        <w:rPr>
          <w:rFonts w:cs="Calibri"/>
        </w:rPr>
        <w:t>ß</w:t>
      </w:r>
      <w:r>
        <w:rPr>
          <w:rFonts w:cs="Calibri"/>
        </w:rPr>
        <w:t>nahmen abzugrenzen, bei denen es sich nach dem Gesamtbild um Hobby-Kurse handelt. Ma</w:t>
      </w:r>
      <w:r>
        <w:rPr>
          <w:rFonts w:cs="Calibri"/>
        </w:rPr>
        <w:t>ß</w:t>
      </w:r>
      <w:r>
        <w:rPr>
          <w:rFonts w:cs="Calibri"/>
        </w:rPr>
        <w:t>geblich f</w:t>
      </w:r>
      <w:r>
        <w:rPr>
          <w:rFonts w:cs="Calibri"/>
        </w:rPr>
        <w:t>ü</w:t>
      </w:r>
      <w:r>
        <w:rPr>
          <w:rFonts w:cs="Calibri"/>
        </w:rPr>
        <w:t>r die Erteilung einer Bescheinigung ist, dass die Ausbildung (der Kurs) f</w:t>
      </w:r>
      <w:r>
        <w:rPr>
          <w:rFonts w:cs="Calibri"/>
        </w:rPr>
        <w:t>ü</w:t>
      </w:r>
      <w:r>
        <w:rPr>
          <w:rFonts w:cs="Calibri"/>
        </w:rPr>
        <w:t>r die Ergreifung des Berufs bzw. die Ablegung der Pr</w:t>
      </w:r>
      <w:r>
        <w:rPr>
          <w:rFonts w:cs="Calibri"/>
        </w:rPr>
        <w:t>ü</w:t>
      </w:r>
      <w:r>
        <w:rPr>
          <w:rFonts w:cs="Calibri"/>
        </w:rPr>
        <w:t>fung erforderlich und geeignet ist. Mit der Bescheinigung wird somit nicht die Ausbildung einzelner Lehrgangsteilnehmer beurteilt, sondern, ob die Bildungseinrichtung von ihrer Organisation und ihren Unterrichtsinhalten (Kursen) ordnungsgem</w:t>
      </w:r>
      <w:r>
        <w:rPr>
          <w:rFonts w:cs="Calibri"/>
        </w:rPr>
        <w:t>äß</w:t>
      </w:r>
      <w:r>
        <w:rPr>
          <w:rFonts w:cs="Calibri"/>
        </w:rPr>
        <w:t xml:space="preserve"> auf einen bestimmten Beruf bzw. auf eine vor einer juristischen Person des </w:t>
      </w:r>
      <w:r>
        <w:rPr>
          <w:rFonts w:cs="Calibri"/>
        </w:rPr>
        <w:t>ö</w:t>
      </w:r>
      <w:r>
        <w:rPr>
          <w:rFonts w:cs="Calibri"/>
        </w:rPr>
        <w:t>ffentlichen Rechts abzulegende Pr</w:t>
      </w:r>
      <w:r>
        <w:rPr>
          <w:rFonts w:cs="Calibri"/>
        </w:rPr>
        <w:t>ü</w:t>
      </w:r>
      <w:r>
        <w:rPr>
          <w:rFonts w:cs="Calibri"/>
        </w:rPr>
        <w:t>fung vorbereitet.</w:t>
      </w:r>
    </w:p>
    <w:p w14:paraId="794F52F6" w14:textId="77777777" w:rsidR="00CA38F6" w:rsidRDefault="00CA38F6">
      <w:pPr>
        <w:pStyle w:val="RVfliesstext175nb"/>
        <w:widowControl/>
      </w:pPr>
      <w:r>
        <w:rPr>
          <w:rFonts w:cs="Calibri"/>
        </w:rPr>
        <w:t>5.6 Tr</w:t>
      </w:r>
      <w:r>
        <w:rPr>
          <w:rFonts w:cs="Calibri"/>
        </w:rPr>
        <w:t>ä</w:t>
      </w:r>
      <w:r>
        <w:rPr>
          <w:rFonts w:cs="Calibri"/>
        </w:rPr>
        <w:t>ger und Leiterin oder Leiter der Schule oder Einrichtung sowie die f</w:t>
      </w:r>
      <w:r>
        <w:rPr>
          <w:rFonts w:cs="Calibri"/>
        </w:rPr>
        <w:t>ü</w:t>
      </w:r>
      <w:r>
        <w:rPr>
          <w:rFonts w:cs="Calibri"/>
        </w:rPr>
        <w:t>r die Vorbereitung verantwortlichen Personen m</w:t>
      </w:r>
      <w:r>
        <w:rPr>
          <w:rFonts w:cs="Calibri"/>
        </w:rPr>
        <w:t>ü</w:t>
      </w:r>
      <w:r>
        <w:rPr>
          <w:rFonts w:cs="Calibri"/>
        </w:rPr>
        <w:t>ssen die erforderliche Zuverl</w:t>
      </w:r>
      <w:r>
        <w:rPr>
          <w:rFonts w:cs="Calibri"/>
        </w:rPr>
        <w:t>ä</w:t>
      </w:r>
      <w:r>
        <w:rPr>
          <w:rFonts w:cs="Calibri"/>
        </w:rPr>
        <w:t>ssigkeit besitzen und die Gew</w:t>
      </w:r>
      <w:r>
        <w:rPr>
          <w:rFonts w:cs="Calibri"/>
        </w:rPr>
        <w:t>ä</w:t>
      </w:r>
      <w:r>
        <w:rPr>
          <w:rFonts w:cs="Calibri"/>
        </w:rPr>
        <w:t>hr daf</w:t>
      </w:r>
      <w:r>
        <w:rPr>
          <w:rFonts w:cs="Calibri"/>
        </w:rPr>
        <w:t>ü</w:t>
      </w:r>
      <w:r>
        <w:rPr>
          <w:rFonts w:cs="Calibri"/>
        </w:rPr>
        <w:t>r bieten, dass sie nicht gegen die verfassungsm</w:t>
      </w:r>
      <w:r>
        <w:rPr>
          <w:rFonts w:cs="Calibri"/>
        </w:rPr>
        <w:t>äß</w:t>
      </w:r>
      <w:r>
        <w:rPr>
          <w:rFonts w:cs="Calibri"/>
        </w:rPr>
        <w:t>ige Ordnung versto</w:t>
      </w:r>
      <w:r>
        <w:rPr>
          <w:rFonts w:cs="Calibri"/>
        </w:rPr>
        <w:t>ß</w:t>
      </w:r>
      <w:r>
        <w:rPr>
          <w:rFonts w:cs="Calibri"/>
        </w:rPr>
        <w:t>en.</w:t>
      </w:r>
    </w:p>
    <w:p w14:paraId="732EA279" w14:textId="77777777" w:rsidR="00CA38F6" w:rsidRDefault="00CA38F6">
      <w:pPr>
        <w:pStyle w:val="RVfliesstext175nb"/>
        <w:widowControl/>
      </w:pPr>
      <w:r>
        <w:rPr>
          <w:rFonts w:cs="Calibri"/>
        </w:rPr>
        <w:t>5.7 Die Vertragsbedingungen, insbesondere die K</w:t>
      </w:r>
      <w:r>
        <w:rPr>
          <w:rFonts w:cs="Calibri"/>
        </w:rPr>
        <w:t>ü</w:t>
      </w:r>
      <w:r>
        <w:rPr>
          <w:rFonts w:cs="Calibri"/>
        </w:rPr>
        <w:t>ndigungsm</w:t>
      </w:r>
      <w:r>
        <w:rPr>
          <w:rFonts w:cs="Calibri"/>
        </w:rPr>
        <w:t>ö</w:t>
      </w:r>
      <w:r>
        <w:rPr>
          <w:rFonts w:cs="Calibri"/>
        </w:rPr>
        <w:t>glichkeiten, m</w:t>
      </w:r>
      <w:r>
        <w:rPr>
          <w:rFonts w:cs="Calibri"/>
        </w:rPr>
        <w:t>ü</w:t>
      </w:r>
      <w:r>
        <w:rPr>
          <w:rFonts w:cs="Calibri"/>
        </w:rPr>
        <w:t>ssen f</w:t>
      </w:r>
      <w:r>
        <w:rPr>
          <w:rFonts w:cs="Calibri"/>
        </w:rPr>
        <w:t>ü</w:t>
      </w:r>
      <w:r>
        <w:rPr>
          <w:rFonts w:cs="Calibri"/>
        </w:rPr>
        <w:t>r die Teilnehmerinnen und Teilnehmer angemessen und zumutbar sein. Die K</w:t>
      </w:r>
      <w:r>
        <w:rPr>
          <w:rFonts w:cs="Calibri"/>
        </w:rPr>
        <w:t>ü</w:t>
      </w:r>
      <w:r>
        <w:rPr>
          <w:rFonts w:cs="Calibri"/>
        </w:rPr>
        <w:t xml:space="preserve">ndigung darf nicht durch Vereinbarungen </w:t>
      </w:r>
      <w:r>
        <w:rPr>
          <w:rFonts w:cs="Calibri"/>
        </w:rPr>
        <w:t>ü</w:t>
      </w:r>
      <w:r>
        <w:rPr>
          <w:rFonts w:cs="Calibri"/>
        </w:rPr>
        <w:t xml:space="preserve">ber Vertragsstrafen oder durch </w:t>
      </w:r>
      <w:r>
        <w:rPr>
          <w:rFonts w:cs="Calibri"/>
        </w:rPr>
        <w:t>ä</w:t>
      </w:r>
      <w:r>
        <w:rPr>
          <w:rFonts w:cs="Calibri"/>
        </w:rPr>
        <w:t>hnliche Abreden erschwert werden. Die K</w:t>
      </w:r>
      <w:r>
        <w:rPr>
          <w:rFonts w:cs="Calibri"/>
        </w:rPr>
        <w:t>ü</w:t>
      </w:r>
      <w:r>
        <w:rPr>
          <w:rFonts w:cs="Calibri"/>
        </w:rPr>
        <w:t>ndigungsfristen m</w:t>
      </w:r>
      <w:r>
        <w:rPr>
          <w:rFonts w:cs="Calibri"/>
        </w:rPr>
        <w:t>ü</w:t>
      </w:r>
      <w:r>
        <w:rPr>
          <w:rFonts w:cs="Calibri"/>
        </w:rPr>
        <w:t>ssen im angemessenen Verh</w:t>
      </w:r>
      <w:r>
        <w:rPr>
          <w:rFonts w:cs="Calibri"/>
        </w:rPr>
        <w:t>ä</w:t>
      </w:r>
      <w:r>
        <w:rPr>
          <w:rFonts w:cs="Calibri"/>
        </w:rPr>
        <w:t>ltnis zur Dauer der Ausbildungszeit stehen. Auch darf das Recht zur au</w:t>
      </w:r>
      <w:r>
        <w:rPr>
          <w:rFonts w:cs="Calibri"/>
        </w:rPr>
        <w:t>ß</w:t>
      </w:r>
      <w:r>
        <w:rPr>
          <w:rFonts w:cs="Calibri"/>
        </w:rPr>
        <w:t>erordentlichen K</w:t>
      </w:r>
      <w:r>
        <w:rPr>
          <w:rFonts w:cs="Calibri"/>
        </w:rPr>
        <w:t>ü</w:t>
      </w:r>
      <w:r>
        <w:rPr>
          <w:rFonts w:cs="Calibri"/>
        </w:rPr>
        <w:t>ndigung in den Vertragsbedingungen nicht ausgeschlossen sein.</w:t>
      </w:r>
    </w:p>
    <w:p w14:paraId="5F1BE694" w14:textId="77777777" w:rsidR="00CA38F6" w:rsidRDefault="00CA38F6">
      <w:pPr>
        <w:pStyle w:val="RVfliesstext175nb"/>
        <w:widowControl/>
      </w:pPr>
      <w:r>
        <w:rPr>
          <w:rFonts w:cs="Calibri"/>
        </w:rPr>
        <w:t>Wenn f</w:t>
      </w:r>
      <w:r>
        <w:rPr>
          <w:rFonts w:cs="Calibri"/>
        </w:rPr>
        <w:t>ü</w:t>
      </w:r>
      <w:r>
        <w:rPr>
          <w:rFonts w:cs="Calibri"/>
        </w:rPr>
        <w:t>r Ausbildungsg</w:t>
      </w:r>
      <w:r>
        <w:rPr>
          <w:rFonts w:cs="Calibri"/>
        </w:rPr>
        <w:t>ä</w:t>
      </w:r>
      <w:r>
        <w:rPr>
          <w:rFonts w:cs="Calibri"/>
        </w:rPr>
        <w:t>nge, die insgesamt einen Zeitraum von nicht mehr als einem halben Jahr umfassen, eine K</w:t>
      </w:r>
      <w:r>
        <w:rPr>
          <w:rFonts w:cs="Calibri"/>
        </w:rPr>
        <w:t>ü</w:t>
      </w:r>
      <w:r>
        <w:rPr>
          <w:rFonts w:cs="Calibri"/>
        </w:rPr>
        <w:t>ndbarkeit vertraglich nicht vorgesehen ist, kann gleichwohl die Voraussetzung f</w:t>
      </w:r>
      <w:r>
        <w:rPr>
          <w:rFonts w:cs="Calibri"/>
        </w:rPr>
        <w:t>ü</w:t>
      </w:r>
      <w:r>
        <w:rPr>
          <w:rFonts w:cs="Calibri"/>
        </w:rPr>
        <w:t>r eine ordnungsgem</w:t>
      </w:r>
      <w:r>
        <w:rPr>
          <w:rFonts w:cs="Calibri"/>
        </w:rPr>
        <w:t>äß</w:t>
      </w:r>
      <w:r>
        <w:rPr>
          <w:rFonts w:cs="Calibri"/>
        </w:rPr>
        <w:t xml:space="preserve">e Vorbereitung auf einen Beruf oder auf eine vor einer juristischen Person des </w:t>
      </w:r>
      <w:r>
        <w:rPr>
          <w:rFonts w:cs="Calibri"/>
        </w:rPr>
        <w:t>ö</w:t>
      </w:r>
      <w:r>
        <w:rPr>
          <w:rFonts w:cs="Calibri"/>
        </w:rPr>
        <w:t>ffentlichen Rechts abzulegende Pr</w:t>
      </w:r>
      <w:r>
        <w:rPr>
          <w:rFonts w:cs="Calibri"/>
        </w:rPr>
        <w:t>ü</w:t>
      </w:r>
      <w:r>
        <w:rPr>
          <w:rFonts w:cs="Calibri"/>
        </w:rPr>
        <w:t>fung erf</w:t>
      </w:r>
      <w:r>
        <w:rPr>
          <w:rFonts w:cs="Calibri"/>
        </w:rPr>
        <w:t>ü</w:t>
      </w:r>
      <w:r>
        <w:rPr>
          <w:rFonts w:cs="Calibri"/>
        </w:rPr>
        <w:t>llt sein.</w:t>
      </w:r>
    </w:p>
    <w:p w14:paraId="4C69A7E3" w14:textId="77777777" w:rsidR="00CA38F6" w:rsidRDefault="00CA38F6">
      <w:pPr>
        <w:pStyle w:val="RVfliesstext175nb"/>
        <w:widowControl/>
      </w:pPr>
      <w:r>
        <w:rPr>
          <w:rFonts w:cs="Calibri"/>
        </w:rPr>
        <w:t>5.8 Die Dauer der Vorbereitung muss in einem angemessenen Verh</w:t>
      </w:r>
      <w:r>
        <w:rPr>
          <w:rFonts w:cs="Calibri"/>
        </w:rPr>
        <w:t>ä</w:t>
      </w:r>
      <w:r>
        <w:rPr>
          <w:rFonts w:cs="Calibri"/>
        </w:rPr>
        <w:t>ltnis zu dem erstrebten Ziel stehen.</w:t>
      </w:r>
    </w:p>
    <w:p w14:paraId="0C5A8D6E" w14:textId="77777777" w:rsidR="00CA38F6" w:rsidRDefault="00CA38F6">
      <w:pPr>
        <w:pStyle w:val="RVfliesstext175nb"/>
        <w:widowControl/>
      </w:pPr>
      <w:r>
        <w:rPr>
          <w:rFonts w:cs="Calibri"/>
        </w:rPr>
        <w:t>5.9 Der Unterrichtsstoff muss in fachlicher und p</w:t>
      </w:r>
      <w:r>
        <w:rPr>
          <w:rFonts w:cs="Calibri"/>
        </w:rPr>
        <w:t>ä</w:t>
      </w:r>
      <w:r>
        <w:rPr>
          <w:rFonts w:cs="Calibri"/>
        </w:rPr>
        <w:t>dagogischer Hinsicht geeignet sein, auf die Pr</w:t>
      </w:r>
      <w:r>
        <w:rPr>
          <w:rFonts w:cs="Calibri"/>
        </w:rPr>
        <w:t>ü</w:t>
      </w:r>
      <w:r>
        <w:rPr>
          <w:rFonts w:cs="Calibri"/>
        </w:rPr>
        <w:t>fung oder den Beruf ausreichend und zweckentsprechend vorzubereiten.</w:t>
      </w:r>
    </w:p>
    <w:p w14:paraId="08F05FE6" w14:textId="77777777" w:rsidR="00CA38F6" w:rsidRDefault="00CA38F6">
      <w:pPr>
        <w:pStyle w:val="RVfliesstext175nb"/>
        <w:widowControl/>
      </w:pPr>
      <w:r>
        <w:rPr>
          <w:rFonts w:cs="Calibri"/>
        </w:rPr>
        <w:t>5.10 Die Ausstellung der Bescheinigung f</w:t>
      </w:r>
      <w:r>
        <w:rPr>
          <w:rFonts w:cs="Calibri"/>
        </w:rPr>
        <w:t>ü</w:t>
      </w:r>
      <w:r>
        <w:rPr>
          <w:rFonts w:cs="Calibri"/>
        </w:rPr>
        <w:t>r private Musikeinrichtungen oder selbstst</w:t>
      </w:r>
      <w:r>
        <w:rPr>
          <w:rFonts w:cs="Calibri"/>
        </w:rPr>
        <w:t>ä</w:t>
      </w:r>
      <w:r>
        <w:rPr>
          <w:rFonts w:cs="Calibri"/>
        </w:rPr>
        <w:t>ndige Musikerzieherinnen und Musikerzieher sowie private Balletteinrichtungen (-institute, -kurse) oder selbstst</w:t>
      </w:r>
      <w:r>
        <w:rPr>
          <w:rFonts w:cs="Calibri"/>
        </w:rPr>
        <w:t>ä</w:t>
      </w:r>
      <w:r>
        <w:rPr>
          <w:rFonts w:cs="Calibri"/>
        </w:rPr>
        <w:t>ndige Ballettlehrerinnen und Ballettlehrer ist grunds</w:t>
      </w:r>
      <w:r>
        <w:rPr>
          <w:rFonts w:cs="Calibri"/>
        </w:rPr>
        <w:t>ä</w:t>
      </w:r>
      <w:r>
        <w:rPr>
          <w:rFonts w:cs="Calibri"/>
        </w:rPr>
        <w:t>tzlich an die Vorlage von Pr</w:t>
      </w:r>
      <w:r>
        <w:rPr>
          <w:rFonts w:cs="Calibri"/>
        </w:rPr>
        <w:t>ü</w:t>
      </w:r>
      <w:r>
        <w:rPr>
          <w:rFonts w:cs="Calibri"/>
        </w:rPr>
        <w:t>fungs- oder Studienbescheinigungen von bereits ausgebildeten Sch</w:t>
      </w:r>
      <w:r>
        <w:rPr>
          <w:rFonts w:cs="Calibri"/>
        </w:rPr>
        <w:t>ü</w:t>
      </w:r>
      <w:r>
        <w:rPr>
          <w:rFonts w:cs="Calibri"/>
        </w:rPr>
        <w:t>lerinnen oder Sch</w:t>
      </w:r>
      <w:r>
        <w:rPr>
          <w:rFonts w:cs="Calibri"/>
        </w:rPr>
        <w:t>ü</w:t>
      </w:r>
      <w:r>
        <w:rPr>
          <w:rFonts w:cs="Calibri"/>
        </w:rPr>
        <w:t>lern zu binden. Die abgelegten Pr</w:t>
      </w:r>
      <w:r>
        <w:rPr>
          <w:rFonts w:cs="Calibri"/>
        </w:rPr>
        <w:t>ü</w:t>
      </w:r>
      <w:r>
        <w:rPr>
          <w:rFonts w:cs="Calibri"/>
        </w:rPr>
        <w:t>fungen m</w:t>
      </w:r>
      <w:r>
        <w:rPr>
          <w:rFonts w:cs="Calibri"/>
        </w:rPr>
        <w:t>ü</w:t>
      </w:r>
      <w:r>
        <w:rPr>
          <w:rFonts w:cs="Calibri"/>
        </w:rPr>
        <w:t>ssen unmittelbar berufsvorbereitend oder den Aufnahmepr</w:t>
      </w:r>
      <w:r>
        <w:rPr>
          <w:rFonts w:cs="Calibri"/>
        </w:rPr>
        <w:t>ü</w:t>
      </w:r>
      <w:r>
        <w:rPr>
          <w:rFonts w:cs="Calibri"/>
        </w:rPr>
        <w:t>fungen an Hochschulen vergleichbar sein.</w:t>
      </w:r>
    </w:p>
    <w:p w14:paraId="089BB11B" w14:textId="77777777" w:rsidR="00CA38F6" w:rsidRDefault="00CA38F6">
      <w:pPr>
        <w:pStyle w:val="RVfliesstext175nb"/>
        <w:widowControl/>
      </w:pPr>
      <w:r>
        <w:rPr>
          <w:rFonts w:cs="Calibri"/>
        </w:rPr>
        <w:t>Ausreichend ist auch der Nachweis von Sch</w:t>
      </w:r>
      <w:r>
        <w:rPr>
          <w:rFonts w:cs="Calibri"/>
        </w:rPr>
        <w:t>ü</w:t>
      </w:r>
      <w:r>
        <w:rPr>
          <w:rFonts w:cs="Calibri"/>
        </w:rPr>
        <w:t>lerinnen oder Sch</w:t>
      </w:r>
      <w:r>
        <w:rPr>
          <w:rFonts w:cs="Calibri"/>
        </w:rPr>
        <w:t>ü</w:t>
      </w:r>
      <w:r>
        <w:rPr>
          <w:rFonts w:cs="Calibri"/>
        </w:rPr>
        <w:t>lern, die beruflich als Musikerinnen und Musiker oder Ballett</w:t>
      </w:r>
      <w:r>
        <w:rPr>
          <w:rFonts w:cs="Calibri"/>
        </w:rPr>
        <w:t>ä</w:t>
      </w:r>
      <w:r>
        <w:rPr>
          <w:rFonts w:cs="Calibri"/>
        </w:rPr>
        <w:t>nzerinnen und Ballett</w:t>
      </w:r>
      <w:r>
        <w:rPr>
          <w:rFonts w:cs="Calibri"/>
        </w:rPr>
        <w:t>ä</w:t>
      </w:r>
      <w:r>
        <w:rPr>
          <w:rFonts w:cs="Calibri"/>
        </w:rPr>
        <w:t>nzer t</w:t>
      </w:r>
      <w:r>
        <w:rPr>
          <w:rFonts w:cs="Calibri"/>
        </w:rPr>
        <w:t>ä</w:t>
      </w:r>
      <w:r>
        <w:rPr>
          <w:rFonts w:cs="Calibri"/>
        </w:rPr>
        <w:t>tig geworden sind.</w:t>
      </w:r>
    </w:p>
    <w:p w14:paraId="57E61546" w14:textId="77777777" w:rsidR="00CA38F6" w:rsidRDefault="00CA38F6">
      <w:pPr>
        <w:pStyle w:val="RVfliesstext175nb"/>
        <w:widowControl/>
      </w:pPr>
      <w:r>
        <w:rPr>
          <w:rFonts w:cs="Calibri"/>
        </w:rPr>
        <w:t>Ausnahmsweise kann insbesondere jungen Musikerzieherinnen oder Musikerziehern sowie jungen Ballettlehrerinnen oder Ballettlehrern, die solche Nachweise noch nicht f</w:t>
      </w:r>
      <w:r>
        <w:rPr>
          <w:rFonts w:cs="Calibri"/>
        </w:rPr>
        <w:t>ü</w:t>
      </w:r>
      <w:r>
        <w:rPr>
          <w:rFonts w:cs="Calibri"/>
        </w:rPr>
        <w:t>hren k</w:t>
      </w:r>
      <w:r>
        <w:rPr>
          <w:rFonts w:cs="Calibri"/>
        </w:rPr>
        <w:t>ö</w:t>
      </w:r>
      <w:r>
        <w:rPr>
          <w:rFonts w:cs="Calibri"/>
        </w:rPr>
        <w:t>nnen, die Bescheinigung befristet auf in der Regel f</w:t>
      </w:r>
      <w:r>
        <w:rPr>
          <w:rFonts w:cs="Calibri"/>
        </w:rPr>
        <w:t>ü</w:t>
      </w:r>
      <w:r>
        <w:rPr>
          <w:rFonts w:cs="Calibri"/>
        </w:rPr>
        <w:t>nf Jahre erteilt werden, wenn sie</w:t>
      </w:r>
    </w:p>
    <w:p w14:paraId="30CB0EAC" w14:textId="77777777" w:rsidR="00CA38F6" w:rsidRDefault="00CA38F6">
      <w:pPr>
        <w:pStyle w:val="RVliste3u75nb"/>
        <w:widowControl/>
        <w:tabs>
          <w:tab w:val="clear" w:pos="720"/>
        </w:tabs>
      </w:pPr>
      <w:r>
        <w:rPr>
          <w:rFonts w:cs="Calibri"/>
        </w:rPr>
        <w:t>-</w:t>
      </w:r>
      <w:r>
        <w:rPr>
          <w:rFonts w:cs="Calibri"/>
        </w:rPr>
        <w:tab/>
        <w:t>eine Staatliche Pr</w:t>
      </w:r>
      <w:r>
        <w:rPr>
          <w:rFonts w:cs="Calibri"/>
        </w:rPr>
        <w:t>ü</w:t>
      </w:r>
      <w:r>
        <w:rPr>
          <w:rFonts w:cs="Calibri"/>
        </w:rPr>
        <w:t>fung f</w:t>
      </w:r>
      <w:r>
        <w:rPr>
          <w:rFonts w:cs="Calibri"/>
        </w:rPr>
        <w:t>ü</w:t>
      </w:r>
      <w:r>
        <w:rPr>
          <w:rFonts w:cs="Calibri"/>
        </w:rPr>
        <w:t>r Musikschullehrerinnen, Musikschullehrer, selbstst</w:t>
      </w:r>
      <w:r>
        <w:rPr>
          <w:rFonts w:cs="Calibri"/>
        </w:rPr>
        <w:t>ä</w:t>
      </w:r>
      <w:r>
        <w:rPr>
          <w:rFonts w:cs="Calibri"/>
        </w:rPr>
        <w:t>ndige Musiklehrerinnen und Musiklehrer oder eine k</w:t>
      </w:r>
      <w:r>
        <w:rPr>
          <w:rFonts w:cs="Calibri"/>
        </w:rPr>
        <w:t>ü</w:t>
      </w:r>
      <w:r>
        <w:rPr>
          <w:rFonts w:cs="Calibri"/>
        </w:rPr>
        <w:t>nstlerische Abschlusspr</w:t>
      </w:r>
      <w:r>
        <w:rPr>
          <w:rFonts w:cs="Calibri"/>
        </w:rPr>
        <w:t>ü</w:t>
      </w:r>
      <w:r>
        <w:rPr>
          <w:rFonts w:cs="Calibri"/>
        </w:rPr>
        <w:t>fung als Tanzp</w:t>
      </w:r>
      <w:r>
        <w:rPr>
          <w:rFonts w:cs="Calibri"/>
        </w:rPr>
        <w:t>ä</w:t>
      </w:r>
      <w:r>
        <w:rPr>
          <w:rFonts w:cs="Calibri"/>
        </w:rPr>
        <w:t>dagogin oder Tanzp</w:t>
      </w:r>
      <w:r>
        <w:rPr>
          <w:rFonts w:cs="Calibri"/>
        </w:rPr>
        <w:t>ä</w:t>
      </w:r>
      <w:r>
        <w:rPr>
          <w:rFonts w:cs="Calibri"/>
        </w:rPr>
        <w:t>dagoge oder eine nach der jeweils geltenden Pr</w:t>
      </w:r>
      <w:r>
        <w:rPr>
          <w:rFonts w:cs="Calibri"/>
        </w:rPr>
        <w:t>ü</w:t>
      </w:r>
      <w:r>
        <w:rPr>
          <w:rFonts w:cs="Calibri"/>
        </w:rPr>
        <w:t>fungsordnung vergleichbare Ausbildung nachweisen und</w:t>
      </w:r>
    </w:p>
    <w:p w14:paraId="78FEBA11" w14:textId="77777777" w:rsidR="00CA38F6" w:rsidRDefault="00CA38F6">
      <w:pPr>
        <w:pStyle w:val="RVliste3u75nb"/>
        <w:widowControl/>
        <w:tabs>
          <w:tab w:val="clear" w:pos="720"/>
        </w:tabs>
      </w:pPr>
      <w:r>
        <w:rPr>
          <w:rFonts w:cs="Calibri"/>
        </w:rPr>
        <w:lastRenderedPageBreak/>
        <w:t>-</w:t>
      </w:r>
      <w:r>
        <w:rPr>
          <w:rFonts w:cs="Calibri"/>
        </w:rPr>
        <w:tab/>
        <w:t xml:space="preserve">glaubhaft machen, dass sie auf einen Beruf oder eine vor einer juristischen Person des </w:t>
      </w:r>
      <w:r>
        <w:rPr>
          <w:rFonts w:cs="Calibri"/>
        </w:rPr>
        <w:t>ö</w:t>
      </w:r>
      <w:r>
        <w:rPr>
          <w:rFonts w:cs="Calibri"/>
        </w:rPr>
        <w:t>ffentlichen Rechts abzulegende Pr</w:t>
      </w:r>
      <w:r>
        <w:rPr>
          <w:rFonts w:cs="Calibri"/>
        </w:rPr>
        <w:t>ü</w:t>
      </w:r>
      <w:r>
        <w:rPr>
          <w:rFonts w:cs="Calibri"/>
        </w:rPr>
        <w:t>fung vorbereiten.</w:t>
      </w:r>
    </w:p>
    <w:p w14:paraId="5F35195B" w14:textId="77777777" w:rsidR="00CA38F6" w:rsidRDefault="00CA38F6">
      <w:pPr>
        <w:pStyle w:val="RVfliesstext175nb"/>
        <w:widowControl/>
      </w:pPr>
      <w:r>
        <w:rPr>
          <w:rFonts w:cs="Calibri"/>
        </w:rPr>
        <w:t>5.11 Erbringt eine Schule oder Einrichtung Leistungen, die verschiedenartigen Schul-, Bildungs- oder Berufszwecken dienen, ist die Bescheinigung f</w:t>
      </w:r>
      <w:r>
        <w:rPr>
          <w:rFonts w:cs="Calibri"/>
        </w:rPr>
        <w:t>ü</w:t>
      </w:r>
      <w:r>
        <w:rPr>
          <w:rFonts w:cs="Calibri"/>
        </w:rPr>
        <w:t>r jede einzelne Leistung gesondert zu beantragen und auszustellen. Die Bescheinigung kann sich bei Fernlehrinstituten z.B. auf einen Lehrgang beziehen, bei Musikschulen auf einen Fachbereich.</w:t>
      </w:r>
    </w:p>
    <w:p w14:paraId="131AA994" w14:textId="77777777" w:rsidR="00CA38F6" w:rsidRDefault="00CA38F6">
      <w:pPr>
        <w:pStyle w:val="RVueberschrift285fz"/>
        <w:keepNext/>
        <w:keepLines/>
      </w:pPr>
      <w:r>
        <w:rPr>
          <w:rFonts w:cs="Calibri"/>
        </w:rPr>
        <w:t>6</w:t>
      </w:r>
    </w:p>
    <w:p w14:paraId="00E84D5D" w14:textId="77777777" w:rsidR="00CA38F6" w:rsidRDefault="00CA38F6">
      <w:pPr>
        <w:pStyle w:val="RVfliesstext175nb"/>
        <w:widowControl/>
      </w:pPr>
      <w:r>
        <w:rPr>
          <w:rFonts w:cs="Calibri"/>
        </w:rPr>
        <w:t>Die Bescheinigung ist widerruflich zu erteilen; sie kann auch befristet werden. Die Voraussetzungen f</w:t>
      </w:r>
      <w:r>
        <w:rPr>
          <w:rFonts w:cs="Calibri"/>
        </w:rPr>
        <w:t>ü</w:t>
      </w:r>
      <w:r>
        <w:rPr>
          <w:rFonts w:cs="Calibri"/>
        </w:rPr>
        <w:t>r den Widerruf (Wegfall der Erteilungsvoraussetzungen, unrichtige oder unvollst</w:t>
      </w:r>
      <w:r>
        <w:rPr>
          <w:rFonts w:cs="Calibri"/>
        </w:rPr>
        <w:t>ä</w:t>
      </w:r>
      <w:r>
        <w:rPr>
          <w:rFonts w:cs="Calibri"/>
        </w:rPr>
        <w:t>ndige Angaben) sind der Antragstellerin oder dem Antragsteller mitzuteilen. Im Falle des Widerrufs ist die zust</w:t>
      </w:r>
      <w:r>
        <w:rPr>
          <w:rFonts w:cs="Calibri"/>
        </w:rPr>
        <w:t>ä</w:t>
      </w:r>
      <w:r>
        <w:rPr>
          <w:rFonts w:cs="Calibri"/>
        </w:rPr>
        <w:t>ndige Finanzbeh</w:t>
      </w:r>
      <w:r>
        <w:rPr>
          <w:rFonts w:cs="Calibri"/>
        </w:rPr>
        <w:t>ö</w:t>
      </w:r>
      <w:r>
        <w:rPr>
          <w:rFonts w:cs="Calibri"/>
        </w:rPr>
        <w:t>rde unverz</w:t>
      </w:r>
      <w:r>
        <w:rPr>
          <w:rFonts w:cs="Calibri"/>
        </w:rPr>
        <w:t>ü</w:t>
      </w:r>
      <w:r>
        <w:rPr>
          <w:rFonts w:cs="Calibri"/>
        </w:rPr>
        <w:t>glich zu unterrichten.</w:t>
      </w:r>
    </w:p>
    <w:p w14:paraId="6AEC9DE8" w14:textId="77777777" w:rsidR="00CA38F6" w:rsidRDefault="00CA38F6">
      <w:pPr>
        <w:pStyle w:val="RVtabellenanker"/>
        <w:widowControl/>
        <w:rPr>
          <w:rFonts w:cs="Calibri"/>
        </w:rPr>
      </w:pPr>
    </w:p>
    <w:p w14:paraId="1272C52C" w14:textId="77777777" w:rsidR="00CA38F6" w:rsidRDefault="00CA38F6">
      <w:pPr>
        <w:pStyle w:val="RVfliesstext175nb"/>
        <w:widowControl/>
      </w:pPr>
    </w:p>
    <w:sectPr w:rsidR="00000000">
      <w:footerReference w:type="even" r:id="rId19"/>
      <w:footerReference w:type="default" r:id="rId20"/>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AEFA" w14:textId="77777777" w:rsidR="00CA38F6" w:rsidRDefault="00CA38F6">
      <w:pPr>
        <w:widowControl/>
      </w:pPr>
      <w:r>
        <w:rPr>
          <w:rFonts w:cs="Calibri"/>
        </w:rPr>
        <w:separator/>
      </w:r>
    </w:p>
  </w:endnote>
  <w:endnote w:type="continuationSeparator" w:id="0">
    <w:p w14:paraId="6A1D28F0" w14:textId="77777777" w:rsidR="00CA38F6" w:rsidRDefault="00CA38F6">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568F" w14:textId="77777777" w:rsidR="00CA38F6" w:rsidRDefault="00CA38F6">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3FC9" w14:textId="77777777" w:rsidR="00CA38F6" w:rsidRDefault="00CA38F6">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33175" w14:textId="77777777" w:rsidR="00CA38F6" w:rsidRDefault="00CA38F6">
      <w:pPr>
        <w:widowControl/>
        <w:rPr>
          <w:sz w:val="2"/>
        </w:rPr>
      </w:pPr>
      <w:r>
        <w:rPr>
          <w:rFonts w:cs="Calibri"/>
        </w:rPr>
        <w:separator/>
      </w:r>
    </w:p>
  </w:footnote>
  <w:footnote w:type="continuationSeparator" w:id="0">
    <w:p w14:paraId="0A65D234" w14:textId="77777777" w:rsidR="00CA38F6" w:rsidRDefault="00CA38F6">
      <w:pPr>
        <w:widowControl/>
        <w:rPr>
          <w:sz w:val="2"/>
        </w:rPr>
      </w:pPr>
      <w:r>
        <w:rPr>
          <w:rFonts w:cs="Calibri"/>
        </w:rPr>
        <w:continuationSeparator/>
      </w:r>
    </w:p>
  </w:footnote>
  <w:footnote w:id="1">
    <w:p w14:paraId="64BD99F0" w14:textId="77777777" w:rsidR="00CA38F6" w:rsidRDefault="00CA38F6">
      <w:pPr>
        <w:pStyle w:val="RVFudfnote160nb"/>
        <w:widowControl/>
        <w:tabs>
          <w:tab w:val="clear" w:pos="720"/>
        </w:tabs>
        <w:rPr>
          <w:rFonts w:cs="Arial"/>
        </w:rPr>
      </w:pPr>
      <w:r>
        <w:rPr>
          <w:rStyle w:val="FootnoteCharacters"/>
          <w:rFonts w:ascii="Arial" w:hAnsi="Arial" w:cs="Arial"/>
          <w:sz w:val="12"/>
        </w:rPr>
        <w:footnoteRef/>
      </w:r>
      <w:r>
        <w:tab/>
      </w:r>
      <w:r>
        <w:rPr>
          <w:rFonts w:cs="Arial"/>
        </w:rPr>
        <w:t>Bereinigt</w:t>
      </w:r>
      <w:r>
        <w:t>.</w:t>
      </w:r>
      <w:r>
        <w:rPr>
          <w:rFonts w:cs="Arial"/>
        </w:rPr>
        <w:t xml:space="preserve"> Eingearbeitet</w:t>
      </w:r>
      <w:r>
        <w:t>:</w:t>
      </w:r>
      <w:r>
        <w:rPr>
          <w:rFonts w:cs="Arial"/>
        </w:rPr>
        <w:t xml:space="preserve"> </w:t>
      </w:r>
      <w:r>
        <w:rPr>
          <w:rFonts w:cs="Arial"/>
        </w:rPr>
        <w:br/>
        <w:t>Gem</w:t>
      </w:r>
      <w:r>
        <w:t>.</w:t>
      </w:r>
      <w:r>
        <w:rPr>
          <w:rFonts w:cs="Arial"/>
        </w:rPr>
        <w:t xml:space="preserve"> RdErl</w:t>
      </w:r>
      <w:r>
        <w:t>.</w:t>
      </w:r>
      <w:r>
        <w:rPr>
          <w:rFonts w:cs="Arial"/>
        </w:rPr>
        <w:t xml:space="preserve"> v</w:t>
      </w:r>
      <w:r>
        <w:t>.</w:t>
      </w:r>
      <w:r>
        <w:rPr>
          <w:rFonts w:cs="Arial"/>
        </w:rPr>
        <w:t xml:space="preserve"> 11</w:t>
      </w:r>
      <w:r>
        <w:t>.</w:t>
      </w:r>
      <w:r>
        <w:rPr>
          <w:rFonts w:cs="Arial"/>
        </w:rPr>
        <w:t>06</w:t>
      </w:r>
      <w:r>
        <w:t>.</w:t>
      </w:r>
      <w:r>
        <w:rPr>
          <w:rFonts w:cs="Arial"/>
        </w:rPr>
        <w:t xml:space="preserve">2004 </w:t>
      </w:r>
      <w:r>
        <w:t>(</w:t>
      </w:r>
      <w:r>
        <w:rPr>
          <w:rFonts w:cs="Arial"/>
        </w:rPr>
        <w:t>ABl</w:t>
      </w:r>
      <w:r>
        <w:t>.</w:t>
      </w:r>
      <w:r>
        <w:rPr>
          <w:rFonts w:cs="Arial"/>
        </w:rPr>
        <w:t xml:space="preserve"> NRW</w:t>
      </w:r>
      <w:r>
        <w:t>.</w:t>
      </w:r>
      <w:r>
        <w:rPr>
          <w:rFonts w:cs="Arial"/>
        </w:rPr>
        <w:t xml:space="preserve"> S</w:t>
      </w:r>
      <w:r>
        <w:t>.</w:t>
      </w:r>
      <w:r>
        <w:rPr>
          <w:rFonts w:cs="Arial"/>
        </w:rPr>
        <w:t xml:space="preserve"> 238</w:t>
      </w:r>
      <w:r>
        <w:t>)</w:t>
      </w:r>
      <w:r>
        <w:rPr>
          <w:rFonts w:cs="Arial"/>
        </w:rPr>
        <w:t>;</w:t>
      </w:r>
      <w:r>
        <w:t xml:space="preserve"> RdErl</w:t>
      </w:r>
      <w:r>
        <w:rPr>
          <w:rFonts w:cs="Arial"/>
        </w:rPr>
        <w:t>.</w:t>
      </w:r>
      <w:r>
        <w:t xml:space="preserve"> v</w:t>
      </w:r>
      <w:r>
        <w:rPr>
          <w:rFonts w:cs="Arial"/>
        </w:rPr>
        <w:t>.</w:t>
      </w:r>
      <w:r>
        <w:t xml:space="preserve"> 25</w:t>
      </w:r>
      <w:r>
        <w:rPr>
          <w:rFonts w:cs="Arial"/>
        </w:rPr>
        <w:t>.</w:t>
      </w:r>
      <w:r>
        <w:t>03</w:t>
      </w:r>
      <w:r>
        <w:rPr>
          <w:rFonts w:cs="Arial"/>
        </w:rPr>
        <w:t>.</w:t>
      </w:r>
      <w:r>
        <w:t xml:space="preserve">2003 </w:t>
      </w:r>
      <w:r>
        <w:rPr>
          <w:rFonts w:cs="Arial"/>
        </w:rPr>
        <w:t>(</w:t>
      </w:r>
      <w:r>
        <w:t>ABl</w:t>
      </w:r>
      <w:r>
        <w:rPr>
          <w:rFonts w:cs="Arial"/>
        </w:rPr>
        <w:t>.</w:t>
      </w:r>
      <w:r>
        <w:t xml:space="preserve"> NRW</w:t>
      </w:r>
      <w:r>
        <w:rPr>
          <w:rFonts w:cs="Arial"/>
        </w:rPr>
        <w:t>.</w:t>
      </w:r>
      <w:r>
        <w:t xml:space="preserve"> S</w:t>
      </w:r>
      <w:r>
        <w:rPr>
          <w:rFonts w:cs="Arial"/>
        </w:rPr>
        <w:t>.</w:t>
      </w:r>
      <w:r>
        <w:t xml:space="preserve"> 115</w:t>
      </w:r>
      <w:r>
        <w:rPr>
          <w:rFonts w:cs="Arial"/>
        </w:rPr>
        <w:t>)</w:t>
      </w:r>
      <w:r>
        <w:t xml:space="preserve"> RdErl</w:t>
      </w:r>
      <w:r>
        <w:rPr>
          <w:rFonts w:cs="Arial"/>
        </w:rPr>
        <w:t>.</w:t>
      </w:r>
      <w:r>
        <w:t xml:space="preserve"> v</w:t>
      </w:r>
      <w:r>
        <w:rPr>
          <w:rFonts w:cs="Arial"/>
        </w:rPr>
        <w:t>.</w:t>
      </w:r>
      <w:r>
        <w:t xml:space="preserve"> 29</w:t>
      </w:r>
      <w:r>
        <w:rPr>
          <w:rFonts w:cs="Arial"/>
        </w:rPr>
        <w:t>.</w:t>
      </w:r>
      <w:r>
        <w:t>04</w:t>
      </w:r>
      <w:r>
        <w:rPr>
          <w:rFonts w:cs="Arial"/>
        </w:rPr>
        <w:t>.</w:t>
      </w:r>
      <w:r>
        <w:t xml:space="preserve">1994 </w:t>
      </w:r>
      <w:r>
        <w:rPr>
          <w:rFonts w:cs="Arial"/>
        </w:rPr>
        <w:t>(</w:t>
      </w:r>
      <w:r>
        <w:t>GABl</w:t>
      </w:r>
      <w:r>
        <w:rPr>
          <w:rFonts w:cs="Arial"/>
        </w:rPr>
        <w:t>.</w:t>
      </w:r>
      <w:r>
        <w:t xml:space="preserve"> NW</w:t>
      </w:r>
      <w:r>
        <w:rPr>
          <w:rFonts w:cs="Arial"/>
        </w:rPr>
        <w:t>.</w:t>
      </w:r>
      <w:r>
        <w:t xml:space="preserve"> I S</w:t>
      </w:r>
      <w:r>
        <w:rPr>
          <w:rFonts w:cs="Arial"/>
        </w:rPr>
        <w:t>.</w:t>
      </w:r>
      <w:r>
        <w:t xml:space="preserve"> 110</w:t>
      </w:r>
      <w:r>
        <w:rPr>
          <w:rFonts w:cs="Arial"/>
        </w:rPr>
        <w:t>)</w:t>
      </w:r>
      <w:r>
        <w:t>;</w:t>
      </w:r>
      <w:r>
        <w:rPr>
          <w:rFonts w:cs="Arial"/>
        </w:rPr>
        <w:t xml:space="preserve"> RdErl</w:t>
      </w:r>
      <w:r>
        <w:t>.</w:t>
      </w:r>
      <w:r>
        <w:rPr>
          <w:rFonts w:cs="Arial"/>
        </w:rPr>
        <w:t xml:space="preserve"> v</w:t>
      </w:r>
      <w:r>
        <w:t>.</w:t>
      </w:r>
      <w:r>
        <w:rPr>
          <w:rFonts w:cs="Arial"/>
        </w:rPr>
        <w:t xml:space="preserve"> 22</w:t>
      </w:r>
      <w:r>
        <w:t>.</w:t>
      </w:r>
      <w:r>
        <w:rPr>
          <w:rFonts w:cs="Arial"/>
        </w:rPr>
        <w:t>08</w:t>
      </w:r>
      <w:r>
        <w:t>.</w:t>
      </w:r>
      <w:r>
        <w:rPr>
          <w:rFonts w:cs="Arial"/>
        </w:rPr>
        <w:t xml:space="preserve">1990 </w:t>
      </w:r>
      <w:r>
        <w:t>(</w:t>
      </w:r>
      <w:r>
        <w:rPr>
          <w:rFonts w:cs="Arial"/>
        </w:rPr>
        <w:t>GABl</w:t>
      </w:r>
      <w:r>
        <w:t>.</w:t>
      </w:r>
      <w:r>
        <w:rPr>
          <w:rFonts w:cs="Arial"/>
        </w:rPr>
        <w:t xml:space="preserve"> NW</w:t>
      </w:r>
      <w:r>
        <w:t>.</w:t>
      </w:r>
      <w:r>
        <w:rPr>
          <w:rFonts w:cs="Arial"/>
        </w:rPr>
        <w:t xml:space="preserve"> S</w:t>
      </w:r>
      <w:r>
        <w:t>.</w:t>
      </w:r>
      <w:r>
        <w:rPr>
          <w:rFonts w:cs="Arial"/>
        </w:rPr>
        <w:t xml:space="preserve"> 478</w:t>
      </w:r>
      <w:r>
        <w:t>)</w:t>
      </w:r>
    </w:p>
  </w:footnote>
  <w:footnote w:id="2">
    <w:p w14:paraId="58C78B31" w14:textId="77777777" w:rsidR="00CA38F6" w:rsidRDefault="00CA38F6">
      <w:pPr>
        <w:pStyle w:val="RVFudfnote160kb"/>
        <w:tabs>
          <w:tab w:val="clear" w:pos="720"/>
        </w:tabs>
      </w:pPr>
      <w:r>
        <w:rPr>
          <w:rStyle w:val="FootnoteCharacters"/>
          <w:rFonts w:ascii="Arial" w:hAnsi="Arial" w:cs="Calibri"/>
          <w:sz w:val="12"/>
        </w:rPr>
        <w:footnoteRef/>
      </w:r>
      <w:r>
        <w:t xml:space="preserve"> jetzt</w:t>
      </w:r>
      <w:r>
        <w:rPr>
          <w:rFonts w:cs="Calibri"/>
        </w:rPr>
        <w:t>:</w:t>
      </w:r>
      <w:r>
        <w:t xml:space="preserve"> Einrichtungen der juristischen Personen des </w:t>
      </w:r>
      <w:r>
        <w:t>ö</w:t>
      </w:r>
      <w:r>
        <w:t xml:space="preserve">ffentlichen Rechts </w:t>
      </w:r>
      <w:r>
        <w:rPr>
          <w:rFonts w:cs="Calibri"/>
        </w:rPr>
        <w:t>(</w:t>
      </w:r>
      <w:r>
        <w:t>§</w:t>
      </w:r>
      <w:r>
        <w:rPr>
          <w:rFonts w:cs="Calibri"/>
        </w:rPr>
        <w:t xml:space="preserve"> 4 Nr</w:t>
      </w:r>
      <w:r>
        <w:t>.</w:t>
      </w:r>
      <w:r>
        <w:rPr>
          <w:rFonts w:cs="Calibri"/>
        </w:rPr>
        <w:t xml:space="preserve"> 20 Buchstabe a Satz 1 UStG</w:t>
      </w:r>
      <w:r>
        <w:t>,</w:t>
      </w:r>
      <w:r>
        <w:rPr>
          <w:rFonts w:cs="Calibri"/>
        </w:rPr>
        <w:t xml:space="preserve"> zuletzt ge</w:t>
      </w:r>
      <w:r>
        <w:rPr>
          <w:rFonts w:cs="Calibri"/>
        </w:rPr>
        <w:t>ä</w:t>
      </w:r>
      <w:r>
        <w:rPr>
          <w:rFonts w:cs="Calibri"/>
        </w:rPr>
        <w:t>ndert durch Art</w:t>
      </w:r>
      <w:r>
        <w:t>.</w:t>
      </w:r>
      <w:r>
        <w:rPr>
          <w:rFonts w:cs="Calibri"/>
        </w:rPr>
        <w:t xml:space="preserve"> 16 des Gesetzes v</w:t>
      </w:r>
      <w:r>
        <w:t>.</w:t>
      </w:r>
      <w:r>
        <w:rPr>
          <w:rFonts w:cs="Calibri"/>
        </w:rPr>
        <w:t xml:space="preserve"> 16</w:t>
      </w:r>
      <w:r>
        <w:t>.</w:t>
      </w:r>
      <w:r>
        <w:rPr>
          <w:rFonts w:cs="Calibri"/>
        </w:rPr>
        <w:t>12</w:t>
      </w:r>
      <w:r>
        <w:t>.</w:t>
      </w:r>
      <w:r>
        <w:rPr>
          <w:rFonts w:cs="Calibri"/>
        </w:rPr>
        <w:t>2022</w:t>
      </w:r>
      <w:r>
        <w:t>,</w:t>
      </w:r>
      <w:r>
        <w:rPr>
          <w:rFonts w:cs="Calibri"/>
        </w:rPr>
        <w:t xml:space="preserve"> BGBl</w:t>
      </w:r>
      <w:r>
        <w:t>.</w:t>
      </w:r>
      <w:r>
        <w:rPr>
          <w:rFonts w:cs="Calibri"/>
        </w:rPr>
        <w:t xml:space="preserve"> I S</w:t>
      </w:r>
      <w:r>
        <w:t>.</w:t>
      </w:r>
      <w:r>
        <w:rPr>
          <w:rFonts w:cs="Calibri"/>
        </w:rPr>
        <w:t xml:space="preserve"> 2294</w:t>
      </w:r>
      <w:r>
        <w:t>)</w:t>
      </w:r>
      <w:r>
        <w:rPr>
          <w:rFonts w:cs="Calibri"/>
        </w:rPr>
        <w:t xml:space="preserve"> </w:t>
      </w:r>
    </w:p>
  </w:footnote>
  <w:footnote w:id="3">
    <w:p w14:paraId="7A33AC11" w14:textId="77777777" w:rsidR="00CA38F6" w:rsidRDefault="00CA38F6">
      <w:pPr>
        <w:pStyle w:val="RVFudfnote160kb"/>
        <w:tabs>
          <w:tab w:val="clear" w:pos="720"/>
        </w:tabs>
      </w:pPr>
      <w:r>
        <w:rPr>
          <w:rStyle w:val="FootnoteCharacters"/>
          <w:rFonts w:ascii="Arial" w:hAnsi="Arial"/>
          <w:sz w:val="12"/>
        </w:rPr>
        <w:footnoteRef/>
      </w:r>
      <w:r>
        <w:rPr>
          <w:rFonts w:cs="Calibri"/>
        </w:rPr>
        <w:t xml:space="preserve"> s</w:t>
      </w:r>
      <w:r>
        <w:t>.</w:t>
      </w:r>
      <w:r>
        <w:rPr>
          <w:rFonts w:cs="Calibri"/>
        </w:rPr>
        <w:t xml:space="preserve"> Fu</w:t>
      </w:r>
      <w:r>
        <w:rPr>
          <w:rFonts w:cs="Calibri"/>
        </w:rPr>
        <w:t>ß</w:t>
      </w:r>
      <w:r>
        <w:rPr>
          <w:rFonts w:cs="Calibri"/>
        </w:rPr>
        <w:t>note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E0D0C"/>
    <w:rsid w:val="00A339FA"/>
    <w:rsid w:val="00BE0D0C"/>
    <w:rsid w:val="00CA3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F924F"/>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link">
    <w:name w:val="link"/>
    <w:uiPriority w:val="99"/>
    <w:rPr>
      <w:rFonts w:ascii="Arial" w:hAnsi="Arial"/>
      <w:color w:val="0000FF"/>
      <w:sz w:val="15"/>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ustg_1980/" TargetMode="External"/><Relationship Id="rId13" Type="http://schemas.openxmlformats.org/officeDocument/2006/relationships/hyperlink" Target="http://www.gesetze-im-internet.de/ustg_1980/" TargetMode="External"/><Relationship Id="rId18" Type="http://schemas.openxmlformats.org/officeDocument/2006/relationships/hyperlink" Target="http://www.gesetze-im-internet.de/ustg_19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esetze-im-internet.de/ustg_1980/" TargetMode="External"/><Relationship Id="rId12" Type="http://schemas.openxmlformats.org/officeDocument/2006/relationships/hyperlink" Target="http://www.gesetze-im-internet.de/ustg_1980/" TargetMode="External"/><Relationship Id="rId17" Type="http://schemas.openxmlformats.org/officeDocument/2006/relationships/hyperlink" Target="http://www.gesetze-im-internet.de/ustg_1980/" TargetMode="External"/><Relationship Id="rId2" Type="http://schemas.openxmlformats.org/officeDocument/2006/relationships/styles" Target="styles.xml"/><Relationship Id="rId16" Type="http://schemas.openxmlformats.org/officeDocument/2006/relationships/hyperlink" Target="http://www.gesetze-im-internet.de/ustg_198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setze-im-internet.de/ustg_1980/" TargetMode="External"/><Relationship Id="rId5" Type="http://schemas.openxmlformats.org/officeDocument/2006/relationships/footnotes" Target="footnotes.xml"/><Relationship Id="rId15" Type="http://schemas.openxmlformats.org/officeDocument/2006/relationships/hyperlink" Target="http://www.gesetze-im-internet.de/ustg_1980/" TargetMode="External"/><Relationship Id="rId10" Type="http://schemas.openxmlformats.org/officeDocument/2006/relationships/hyperlink" Target="https://recht.nrw.de/lmi/owa/br_bes_text?sg=0&amp;menu=1&amp;anw_nr=2&amp;gld_nr=%202&amp;ugl_nr=223&amp;val=4387&amp;ver=0&amp;aufgehoben=N&amp;keyword=&amp;bes_id=4387&amp;show_preview=1&amp;typ=Inhal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setze-im-internet.de/ustg_1980/" TargetMode="External"/><Relationship Id="rId14" Type="http://schemas.openxmlformats.org/officeDocument/2006/relationships/hyperlink" Target="http://www.gesetze-im-internet.de/ustg_19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1618</Words>
  <Characters>10200</Characters>
  <Application>Microsoft Office Word</Application>
  <DocSecurity>0</DocSecurity>
  <Lines>85</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2024-09-10T02:17:00Z</dcterms:created>
  <dcterms:modified xsi:type="dcterms:W3CDTF">2024-09-10T02:17:00Z</dcterms:modified>
</cp:coreProperties>
</file>