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body>
    <w:p w:rsidR="001F2FCA" w:rsidRDefault="001F2FCA">
      <w:pPr>
        <w:widowControl/>
        <w:spacing w:before="10" w:after="10" w:line="40" w:lineRule="exact"/>
        <w:jc w:val="both"/>
      </w:pPr>
    </w:p>
    <w:tbl>
      <w:tblPr>
        <w:tblW w:w="5000" w:type="pct"/>
        <w:tblBorders>
          <w:top w:val="single" w:sz="6" w:space="0" w:color="auto"/>
          <w:left w:val="single" w:sz="6" w:space="0" w:color="auto"/>
          <w:bottom w:val="single" w:sz="6" w:space="0" w:color="auto"/>
          <w:right w:val="single" w:sz="6" w:space="0" w:color="auto"/>
          <w:insideH w:val="single" w:sz="6" w:space="0" w:color="auto"/>
          <w:insideV w:val="single" w:sz="6" w:space="0" w:color="auto"/>
        </w:tblBorders>
        <w:tblLayout w:type="fixed"/>
        <w:tblCellMar>
          <w:top w:w="170" w:type="dxa"/>
          <w:left w:w="113" w:type="dxa"/>
          <w:bottom w:w="170" w:type="dxa"/>
          <w:right w:w="113" w:type="dxa"/>
        </w:tblCellMar>
        <w:tblLook w:val="0000" w:firstRow="0" w:lastRow="0" w:firstColumn="0" w:lastColumn="0" w:noHBand="0" w:noVBand="0"/>
      </w:tblPr>
      <w:tblGrid>
        <w:gridCol w:w="5111"/>
      </w:tblGrid>
      <w:tr w:rsidR="00000000">
        <w:tc>
          <w:tcPr>
            <w:tcW w:w="4888" w:type="dxa"/>
            <w:tcBorders>
              <w:top w:val="none" w:sz="2" w:space="0" w:color="auto"/>
              <w:left w:val="none" w:sz="2" w:space="0" w:color="auto"/>
              <w:bottom w:val="none" w:sz="2" w:space="0" w:color="auto"/>
              <w:right w:val="none" w:sz="2" w:space="0" w:color="auto"/>
            </w:tcBorders>
            <w:tcMar>
              <w:top w:w="150" w:type="dxa"/>
              <w:left w:w="113" w:type="dxa"/>
              <w:bottom w:w="170" w:type="dxa"/>
              <w:right w:w="113" w:type="dxa"/>
            </w:tcMar>
          </w:tcPr>
          <w:p w:rsidR="001F2FCA" w:rsidRDefault="001F2FCA">
            <w:pPr>
              <w:pStyle w:val="V-Normaltext"/>
              <w:widowControl/>
              <w:spacing w:before="10" w:after="30" w:line="200" w:lineRule="exact"/>
            </w:pPr>
            <w:r>
              <w:rPr>
                <w:rFonts w:cs="Calibri"/>
                <w:b/>
              </w:rPr>
              <w:t>Vorgaben zum Abitur 2014</w:t>
            </w:r>
          </w:p>
          <w:p w:rsidR="001F2FCA" w:rsidRDefault="001F2FCA">
            <w:pPr>
              <w:pStyle w:val="V-Normaltext"/>
              <w:widowControl/>
              <w:spacing w:before="10" w:after="30" w:line="200" w:lineRule="exact"/>
            </w:pPr>
            <w:r>
              <w:rPr>
                <w:rFonts w:cs="Calibri"/>
              </w:rPr>
              <w:t>F</w:t>
            </w:r>
            <w:r>
              <w:rPr>
                <w:rFonts w:cs="Calibri"/>
              </w:rPr>
              <w:t>ü</w:t>
            </w:r>
            <w:r>
              <w:rPr>
                <w:rFonts w:cs="Calibri"/>
              </w:rPr>
              <w:t>r Sch</w:t>
            </w:r>
            <w:r>
              <w:rPr>
                <w:rFonts w:cs="Calibri"/>
              </w:rPr>
              <w:t>ü</w:t>
            </w:r>
            <w:r>
              <w:rPr>
                <w:rFonts w:cs="Calibri"/>
              </w:rPr>
              <w:t>lerinnen und Sch</w:t>
            </w:r>
            <w:r>
              <w:rPr>
                <w:rFonts w:cs="Calibri"/>
              </w:rPr>
              <w:t>ü</w:t>
            </w:r>
            <w:r>
              <w:rPr>
                <w:rFonts w:cs="Calibri"/>
              </w:rPr>
              <w:t>ler, die zum Schuljahresbeginn 2011/2012 in die gymnasiale Oberstufe eintrete</w:t>
            </w:r>
            <w:r>
              <w:rPr>
                <w:rFonts w:cs="Calibri"/>
              </w:rPr>
              <w:t>n, werden die Vorgaben zur Vorbereitung auf die schriftlichen Pr</w:t>
            </w:r>
            <w:r>
              <w:rPr>
                <w:rFonts w:cs="Calibri"/>
              </w:rPr>
              <w:t>ü</w:t>
            </w:r>
            <w:r>
              <w:rPr>
                <w:rFonts w:cs="Calibri"/>
              </w:rPr>
              <w:t>fungen im Abitur 2014 im Unterricht der Qualifikationsphase erlassen.</w:t>
            </w:r>
          </w:p>
          <w:p w:rsidR="001F2FCA" w:rsidRDefault="001F2FCA">
            <w:pPr>
              <w:pStyle w:val="V-Normaltext"/>
              <w:widowControl/>
              <w:spacing w:before="10" w:after="30" w:line="200" w:lineRule="exact"/>
            </w:pPr>
            <w:r>
              <w:rPr>
                <w:rFonts w:cs="Calibri"/>
              </w:rPr>
              <w:t xml:space="preserve">Nachdem es im Vorjahr wegen des Doppeljahrgangs 2013 keine </w:t>
            </w:r>
            <w:r>
              <w:rPr>
                <w:rFonts w:cs="Calibri"/>
              </w:rPr>
              <w:t>Ä</w:t>
            </w:r>
            <w:r>
              <w:rPr>
                <w:rFonts w:cs="Calibri"/>
              </w:rPr>
              <w:t>nde-rungen gegen</w:t>
            </w:r>
            <w:r>
              <w:rPr>
                <w:rFonts w:cs="Calibri"/>
              </w:rPr>
              <w:t>ü</w:t>
            </w:r>
            <w:r>
              <w:rPr>
                <w:rFonts w:cs="Calibri"/>
              </w:rPr>
              <w:t>ber den Vorgaben f</w:t>
            </w:r>
            <w:r>
              <w:rPr>
                <w:rFonts w:cs="Calibri"/>
              </w:rPr>
              <w:t>ü</w:t>
            </w:r>
            <w:r>
              <w:rPr>
                <w:rFonts w:cs="Calibri"/>
              </w:rPr>
              <w:t>r das Abitur 2012 gegeben hat, werden f</w:t>
            </w:r>
            <w:r>
              <w:rPr>
                <w:rFonts w:cs="Calibri"/>
              </w:rPr>
              <w:t>ü</w:t>
            </w:r>
            <w:r>
              <w:rPr>
                <w:rFonts w:cs="Calibri"/>
              </w:rPr>
              <w:t>r 2014 Modifikationen insbesondere in den modernen Fremdsprachen und in Mathematik vorgenommen.</w:t>
            </w:r>
          </w:p>
        </w:tc>
      </w:tr>
    </w:tbl>
    <w:p w:rsidR="001F2FCA" w:rsidRDefault="001F2FCA">
      <w:pPr>
        <w:widowControl/>
        <w:spacing w:before="10" w:after="50" w:line="180" w:lineRule="exact"/>
      </w:pPr>
      <w:r>
        <w:rPr>
          <w:rFonts w:ascii="Arial" w:hAnsi="Arial" w:cs="Calibri"/>
          <w:b/>
          <w:color w:val="666666"/>
          <w:sz w:val="18"/>
        </w:rPr>
        <w:t xml:space="preserve">Zu BASS 13 </w:t>
      </w:r>
      <w:r>
        <w:rPr>
          <w:rFonts w:ascii="Arial" w:hAnsi="Arial" w:cs="Calibri"/>
          <w:b/>
          <w:color w:val="666666"/>
          <w:sz w:val="18"/>
        </w:rPr>
        <w:t>–</w:t>
      </w:r>
      <w:r>
        <w:rPr>
          <w:rFonts w:ascii="Arial" w:hAnsi="Arial" w:cs="Calibri"/>
          <w:b/>
          <w:color w:val="666666"/>
          <w:sz w:val="18"/>
        </w:rPr>
        <w:t xml:space="preserve"> 32 Nr. 6</w:t>
      </w:r>
    </w:p>
    <w:p w:rsidR="001F2FCA" w:rsidRDefault="001F2FCA">
      <w:pPr>
        <w:pStyle w:val="V-Bass-dcber"/>
        <w:widowControl/>
        <w:spacing w:before="10" w:after="10"/>
        <w:rPr>
          <w:rFonts w:cs="Arial"/>
        </w:rPr>
      </w:pPr>
      <w:r>
        <w:t>Vorgaben</w:t>
      </w:r>
      <w:r>
        <w:br/>
        <w:t>zur Vorbereitung auf die schriftlichen Pr</w:t>
      </w:r>
      <w:r>
        <w:t>ü</w:t>
      </w:r>
      <w:r>
        <w:t>fungen</w:t>
      </w:r>
      <w:r>
        <w:br/>
        <w:t>im Abitur 2014</w:t>
      </w:r>
    </w:p>
    <w:p w:rsidR="001F2FCA" w:rsidRDefault="001F2FCA">
      <w:pPr>
        <w:pStyle w:val="V-NormaltextZentriert"/>
        <w:widowControl/>
        <w:rPr>
          <w:rFonts w:cs="Arial"/>
        </w:rPr>
      </w:pPr>
      <w:r>
        <w:t>RdErl. des Ministeriums f</w:t>
      </w:r>
      <w:r>
        <w:t>ü</w:t>
      </w:r>
      <w:r>
        <w:t>r Schule und Weiterbildung</w:t>
      </w:r>
      <w:r>
        <w:br/>
        <w:t xml:space="preserve">v. 18. 8. 2011 </w:t>
      </w:r>
      <w:r>
        <w:t>–</w:t>
      </w:r>
      <w:r>
        <w:t xml:space="preserve"> 525-6.03.15.06-99815</w:t>
      </w:r>
    </w:p>
    <w:p w:rsidR="001F2FCA" w:rsidRDefault="001F2FCA">
      <w:pPr>
        <w:pStyle w:val="V-Haupttext2"/>
        <w:widowControl/>
        <w:spacing w:before="10" w:after="10" w:line="240" w:lineRule="auto"/>
        <w:ind w:left="680" w:hanging="680"/>
        <w:rPr>
          <w:rFonts w:cs="Calibri"/>
        </w:rPr>
      </w:pPr>
      <w:r>
        <w:rPr>
          <w:rFonts w:cs="Calibri"/>
          <w:b/>
        </w:rPr>
        <w:t>Bezug:</w:t>
      </w:r>
      <w:r>
        <w:tab/>
        <w:t>1.</w:t>
      </w:r>
    </w:p>
    <w:p w:rsidR="001F2FCA" w:rsidRDefault="001F2FCA">
      <w:pPr>
        <w:pStyle w:val="V-Haupttext3"/>
        <w:widowControl/>
      </w:pPr>
      <w:r>
        <w:rPr>
          <w:rFonts w:cs="Arial"/>
        </w:rPr>
        <w:t>§</w:t>
      </w:r>
      <w:r>
        <w:rPr>
          <w:rFonts w:cs="Arial"/>
        </w:rPr>
        <w:t xml:space="preserve"> 33 der Verordnung </w:t>
      </w:r>
      <w:r>
        <w:rPr>
          <w:rFonts w:cs="Arial"/>
        </w:rPr>
        <w:t>ü</w:t>
      </w:r>
      <w:r>
        <w:rPr>
          <w:rFonts w:cs="Arial"/>
        </w:rPr>
        <w:t>ber den Bildungsgang und die Abiturpr</w:t>
      </w:r>
      <w:r>
        <w:rPr>
          <w:rFonts w:cs="Arial"/>
        </w:rPr>
        <w:t>ü</w:t>
      </w:r>
      <w:r>
        <w:rPr>
          <w:rFonts w:cs="Arial"/>
        </w:rPr>
        <w:t>fung in der gymnasialen Oberstufe</w:t>
      </w:r>
      <w:r>
        <w:rPr>
          <w:rFonts w:cs="Arial"/>
        </w:rPr>
        <w:br/>
        <w:t xml:space="preserve">(APO-GOSt </w:t>
      </w:r>
      <w:r>
        <w:rPr>
          <w:rFonts w:cs="Arial"/>
        </w:rPr>
        <w:t>–</w:t>
      </w:r>
      <w:r>
        <w:rPr>
          <w:rFonts w:cs="Arial"/>
        </w:rPr>
        <w:t xml:space="preserve"> BASS 13 </w:t>
      </w:r>
      <w:r>
        <w:rPr>
          <w:rFonts w:cs="Arial"/>
        </w:rPr>
        <w:t>–</w:t>
      </w:r>
      <w:r>
        <w:rPr>
          <w:rFonts w:cs="Arial"/>
        </w:rPr>
        <w:t xml:space="preserve"> 32 Nr. 3.1)</w:t>
      </w:r>
    </w:p>
    <w:p w:rsidR="001F2FCA" w:rsidRDefault="001F2FCA">
      <w:pPr>
        <w:pStyle w:val="V-Haupttext3"/>
        <w:widowControl/>
        <w:ind w:left="907" w:hanging="907"/>
      </w:pPr>
      <w:r>
        <w:rPr>
          <w:rFonts w:cs="Arial"/>
        </w:rPr>
        <w:t>2.</w:t>
      </w:r>
      <w:r>
        <w:rPr>
          <w:rFonts w:cs="Arial"/>
        </w:rPr>
        <w:tab/>
        <w:t>Richtlinien und Lehrpl</w:t>
      </w:r>
      <w:r>
        <w:rPr>
          <w:rFonts w:cs="Arial"/>
        </w:rPr>
        <w:t>ä</w:t>
      </w:r>
      <w:r>
        <w:rPr>
          <w:rFonts w:cs="Arial"/>
        </w:rPr>
        <w:t>ne f</w:t>
      </w:r>
      <w:r>
        <w:rPr>
          <w:rFonts w:cs="Arial"/>
        </w:rPr>
        <w:t>ü</w:t>
      </w:r>
      <w:r>
        <w:rPr>
          <w:rFonts w:cs="Arial"/>
        </w:rPr>
        <w:t>r die F</w:t>
      </w:r>
      <w:r>
        <w:rPr>
          <w:rFonts w:cs="Arial"/>
        </w:rPr>
        <w:t>ä</w:t>
      </w:r>
      <w:r>
        <w:rPr>
          <w:rFonts w:cs="Arial"/>
        </w:rPr>
        <w:t xml:space="preserve">cher der gymnasialen </w:t>
      </w:r>
      <w:r>
        <w:rPr>
          <w:rFonts w:cs="Arial"/>
        </w:rPr>
        <w:tab/>
      </w:r>
      <w:r>
        <w:rPr>
          <w:rFonts w:cs="Arial"/>
        </w:rPr>
        <w:tab/>
        <w:t>Oberstufe in Nordrhein-Westfalen vom 17. 3. 1999</w:t>
      </w:r>
      <w:r>
        <w:rPr>
          <w:rFonts w:cs="Arial"/>
        </w:rPr>
        <w:br/>
        <w:t xml:space="preserve">(RdErl. v. 3. 3. 1999 </w:t>
      </w:r>
      <w:r>
        <w:rPr>
          <w:rFonts w:cs="Arial"/>
        </w:rPr>
        <w:t>–</w:t>
      </w:r>
      <w:r>
        <w:rPr>
          <w:rFonts w:cs="Arial"/>
        </w:rPr>
        <w:t xml:space="preserve"> BASS 15 </w:t>
      </w:r>
      <w:r>
        <w:rPr>
          <w:rFonts w:cs="Arial"/>
        </w:rPr>
        <w:t>–</w:t>
      </w:r>
      <w:r>
        <w:rPr>
          <w:rFonts w:cs="Arial"/>
        </w:rPr>
        <w:t xml:space="preserve"> 31 Nr. 1.0)</w:t>
      </w:r>
    </w:p>
    <w:p w:rsidR="001F2FCA" w:rsidRDefault="001F2FCA">
      <w:pPr>
        <w:pStyle w:val="V-Haupttext3"/>
        <w:widowControl/>
        <w:ind w:left="907" w:hanging="907"/>
      </w:pPr>
      <w:r>
        <w:rPr>
          <w:rFonts w:cs="Arial"/>
        </w:rPr>
        <w:t>3.</w:t>
      </w:r>
      <w:r>
        <w:rPr>
          <w:rFonts w:cs="Arial"/>
        </w:rPr>
        <w:tab/>
        <w:t xml:space="preserve">Verordnung </w:t>
      </w:r>
      <w:r>
        <w:rPr>
          <w:rFonts w:cs="Arial"/>
        </w:rPr>
        <w:t>ü</w:t>
      </w:r>
      <w:r>
        <w:rPr>
          <w:rFonts w:cs="Arial"/>
        </w:rPr>
        <w:t>ber die Abiturpr</w:t>
      </w:r>
      <w:r>
        <w:rPr>
          <w:rFonts w:cs="Arial"/>
        </w:rPr>
        <w:t>ü</w:t>
      </w:r>
      <w:r>
        <w:rPr>
          <w:rFonts w:cs="Arial"/>
        </w:rPr>
        <w:t>fung f</w:t>
      </w:r>
      <w:r>
        <w:rPr>
          <w:rFonts w:cs="Arial"/>
        </w:rPr>
        <w:t>ü</w:t>
      </w:r>
      <w:r>
        <w:rPr>
          <w:rFonts w:cs="Arial"/>
        </w:rPr>
        <w:t>r Externe</w:t>
      </w:r>
      <w:r>
        <w:rPr>
          <w:rFonts w:cs="Arial"/>
        </w:rPr>
        <w:br/>
        <w:t xml:space="preserve">(PO-Externe-A) vom 30. Januar 2000 (BASS 19 </w:t>
      </w:r>
      <w:r>
        <w:rPr>
          <w:rFonts w:cs="Arial"/>
        </w:rPr>
        <w:t>–</w:t>
      </w:r>
      <w:r>
        <w:rPr>
          <w:rFonts w:cs="Arial"/>
        </w:rPr>
        <w:t xml:space="preserve"> 33 Nr. 2)</w:t>
      </w:r>
    </w:p>
    <w:p w:rsidR="001F2FCA" w:rsidRDefault="001F2FCA">
      <w:pPr>
        <w:pStyle w:val="V-Haupttext3"/>
        <w:widowControl/>
        <w:ind w:left="907" w:hanging="907"/>
      </w:pPr>
      <w:r>
        <w:rPr>
          <w:rFonts w:cs="Arial"/>
        </w:rPr>
        <w:t>4.</w:t>
      </w:r>
      <w:r>
        <w:rPr>
          <w:rFonts w:cs="Arial"/>
        </w:rPr>
        <w:tab/>
        <w:t xml:space="preserve">Verordnung </w:t>
      </w:r>
      <w:r>
        <w:rPr>
          <w:rFonts w:cs="Arial"/>
        </w:rPr>
        <w:t>ü</w:t>
      </w:r>
      <w:r>
        <w:rPr>
          <w:rFonts w:cs="Arial"/>
        </w:rPr>
        <w:t>ber die Abiturpr</w:t>
      </w:r>
      <w:r>
        <w:rPr>
          <w:rFonts w:cs="Arial"/>
        </w:rPr>
        <w:t>ü</w:t>
      </w:r>
      <w:r>
        <w:rPr>
          <w:rFonts w:cs="Arial"/>
        </w:rPr>
        <w:t>fung f</w:t>
      </w:r>
      <w:r>
        <w:rPr>
          <w:rFonts w:cs="Arial"/>
        </w:rPr>
        <w:t>ü</w:t>
      </w:r>
      <w:r>
        <w:rPr>
          <w:rFonts w:cs="Arial"/>
        </w:rPr>
        <w:t>r Sch</w:t>
      </w:r>
      <w:r>
        <w:rPr>
          <w:rFonts w:cs="Arial"/>
        </w:rPr>
        <w:t>ü</w:t>
      </w:r>
      <w:r>
        <w:rPr>
          <w:rFonts w:cs="Arial"/>
        </w:rPr>
        <w:t>lerinnen und Sch</w:t>
      </w:r>
      <w:r>
        <w:rPr>
          <w:rFonts w:cs="Arial"/>
        </w:rPr>
        <w:t>ü</w:t>
      </w:r>
      <w:r>
        <w:rPr>
          <w:rFonts w:cs="Arial"/>
        </w:rPr>
        <w:t>ler an Waldorf-Schulen</w:t>
      </w:r>
      <w:r>
        <w:rPr>
          <w:rFonts w:cs="Arial"/>
        </w:rPr>
        <w:br/>
        <w:t xml:space="preserve">(PO-Waldorf) vom 31. Januar 2000 (BASS 13 </w:t>
      </w:r>
      <w:r>
        <w:rPr>
          <w:rFonts w:cs="Arial"/>
        </w:rPr>
        <w:t>–</w:t>
      </w:r>
      <w:r>
        <w:rPr>
          <w:rFonts w:cs="Arial"/>
        </w:rPr>
        <w:t xml:space="preserve"> 51 Nr. 1.1)</w:t>
      </w:r>
    </w:p>
    <w:p w:rsidR="001F2FCA" w:rsidRDefault="001F2FCA">
      <w:pPr>
        <w:pStyle w:val="V-ListeNormal1"/>
        <w:keepNext/>
        <w:widowControl/>
        <w:ind w:left="227" w:hanging="227"/>
      </w:pPr>
      <w:r>
        <w:rPr>
          <w:rFonts w:cs="Arial"/>
        </w:rPr>
        <w:t>1.</w:t>
      </w:r>
      <w:r>
        <w:rPr>
          <w:rFonts w:cs="Arial"/>
        </w:rPr>
        <w:tab/>
        <w:t>Zur Vorbereitung der Sch</w:t>
      </w:r>
      <w:r>
        <w:rPr>
          <w:rFonts w:cs="Arial"/>
        </w:rPr>
        <w:t>ü</w:t>
      </w:r>
      <w:r>
        <w:rPr>
          <w:rFonts w:cs="Arial"/>
        </w:rPr>
        <w:t>lerinnen und Sch</w:t>
      </w:r>
      <w:r>
        <w:rPr>
          <w:rFonts w:cs="Arial"/>
        </w:rPr>
        <w:t>ü</w:t>
      </w:r>
      <w:r>
        <w:rPr>
          <w:rFonts w:cs="Arial"/>
        </w:rPr>
        <w:t>ler auf die schriftlichen Pr</w:t>
      </w:r>
      <w:r>
        <w:rPr>
          <w:rFonts w:cs="Arial"/>
        </w:rPr>
        <w:t>ü</w:t>
      </w:r>
      <w:r>
        <w:rPr>
          <w:rFonts w:cs="Arial"/>
        </w:rPr>
        <w:t xml:space="preserve">fungen mit zentral gestellten Aufgaben im Abitur 2014 an Gymnasien und Gesamtschulen werden Vorgaben erlassen. Wegen des Doppeljahrgangs 2013 waren die Vorgaben im </w:t>
      </w:r>
      <w:r>
        <w:rPr>
          <w:rFonts w:cs="Arial"/>
        </w:rPr>
        <w:t>Ü</w:t>
      </w:r>
      <w:r>
        <w:rPr>
          <w:rFonts w:cs="Arial"/>
        </w:rPr>
        <w:t>bergang von 2012 nach 2013 weitgehend unver</w:t>
      </w:r>
      <w:r>
        <w:rPr>
          <w:rFonts w:cs="Arial"/>
        </w:rPr>
        <w:t>ä</w:t>
      </w:r>
      <w:r>
        <w:rPr>
          <w:rFonts w:cs="Arial"/>
        </w:rPr>
        <w:t>ndert geblieben, sodass zwei Jahrg</w:t>
      </w:r>
      <w:r>
        <w:rPr>
          <w:rFonts w:cs="Arial"/>
        </w:rPr>
        <w:t>ä</w:t>
      </w:r>
      <w:r>
        <w:rPr>
          <w:rFonts w:cs="Arial"/>
        </w:rPr>
        <w:t>nge hintereinander nach denselben Vorgaben zum Abitur gef</w:t>
      </w:r>
      <w:r>
        <w:rPr>
          <w:rFonts w:cs="Arial"/>
        </w:rPr>
        <w:t>ü</w:t>
      </w:r>
      <w:r>
        <w:rPr>
          <w:rFonts w:cs="Arial"/>
        </w:rPr>
        <w:t>hrt werden. F</w:t>
      </w:r>
      <w:r>
        <w:rPr>
          <w:rFonts w:cs="Arial"/>
        </w:rPr>
        <w:t>ü</w:t>
      </w:r>
      <w:r>
        <w:rPr>
          <w:rFonts w:cs="Arial"/>
        </w:rPr>
        <w:t xml:space="preserve">r das Jahr 2014 sind wesentliche </w:t>
      </w:r>
      <w:r>
        <w:rPr>
          <w:rFonts w:cs="Arial"/>
        </w:rPr>
        <w:t>Ä</w:t>
      </w:r>
      <w:r>
        <w:rPr>
          <w:rFonts w:cs="Arial"/>
        </w:rPr>
        <w:t>nderungen in den modernen Fremdsprachen und in Mathematik vorgenommen worden. F</w:t>
      </w:r>
      <w:r>
        <w:rPr>
          <w:rFonts w:cs="Arial"/>
        </w:rPr>
        <w:t>ü</w:t>
      </w:r>
      <w:r>
        <w:rPr>
          <w:rFonts w:cs="Arial"/>
        </w:rPr>
        <w:t>r die modernen Fremdsprachen ist erstmals von der Nennung konkreter Lekt</w:t>
      </w:r>
      <w:r>
        <w:rPr>
          <w:rFonts w:cs="Arial"/>
        </w:rPr>
        <w:t>ü</w:t>
      </w:r>
      <w:r>
        <w:rPr>
          <w:rFonts w:cs="Arial"/>
        </w:rPr>
        <w:t>ren abgesehen worden, die Auswahl im Rahmen der genannten Schwerpunkte obliegt den Lehrkr</w:t>
      </w:r>
      <w:r>
        <w:rPr>
          <w:rFonts w:cs="Arial"/>
        </w:rPr>
        <w:t>ä</w:t>
      </w:r>
      <w:r>
        <w:rPr>
          <w:rFonts w:cs="Arial"/>
        </w:rPr>
        <w:t xml:space="preserve">ften. Damit einher geht in der Regel eine genauere </w:t>
      </w:r>
      <w:r>
        <w:rPr>
          <w:rFonts w:cs="Arial"/>
        </w:rPr>
        <w:t>Ü</w:t>
      </w:r>
      <w:r>
        <w:rPr>
          <w:rFonts w:cs="Arial"/>
        </w:rPr>
        <w:t xml:space="preserve">bersicht </w:t>
      </w:r>
      <w:r>
        <w:rPr>
          <w:rFonts w:cs="Arial"/>
        </w:rPr>
        <w:t>ü</w:t>
      </w:r>
      <w:r>
        <w:rPr>
          <w:rFonts w:cs="Arial"/>
        </w:rPr>
        <w:t>ber die Zieltextformate und eine pr</w:t>
      </w:r>
      <w:r>
        <w:rPr>
          <w:rFonts w:cs="Arial"/>
        </w:rPr>
        <w:t>ä</w:t>
      </w:r>
      <w:r>
        <w:rPr>
          <w:rFonts w:cs="Arial"/>
        </w:rPr>
        <w:t>zisere Zuordnung von inhaltlichen Schwerpunkten, Kurstypen sowie Ausgangs- und Zieltexten. In Mathematik wird die Anzahl der zur Auswahl stehenden Aufgaben reduziert. Dies betrifft die nur selten angew</w:t>
      </w:r>
      <w:r>
        <w:rPr>
          <w:rFonts w:cs="Arial"/>
        </w:rPr>
        <w:t>ä</w:t>
      </w:r>
      <w:r>
        <w:rPr>
          <w:rFonts w:cs="Arial"/>
        </w:rPr>
        <w:t>hlten Aufgaben zur Abbildungsgeometrie und zum Sch</w:t>
      </w:r>
      <w:r>
        <w:rPr>
          <w:rFonts w:cs="Arial"/>
        </w:rPr>
        <w:t>ä</w:t>
      </w:r>
      <w:r>
        <w:rPr>
          <w:rFonts w:cs="Arial"/>
        </w:rPr>
        <w:t>tzen von Parametern in der Stochastik. Dar</w:t>
      </w:r>
      <w:r>
        <w:rPr>
          <w:rFonts w:cs="Arial"/>
        </w:rPr>
        <w:t>ü</w:t>
      </w:r>
      <w:r>
        <w:rPr>
          <w:rFonts w:cs="Arial"/>
        </w:rPr>
        <w:t>ber hinaus wird im Grundkurs durch den Verzicht auf eine Analysisaufgabe bei dem Werkzeug WTR die Gleichgewichtigkeit bzgl. der Aufgabenanzahl gegen</w:t>
      </w:r>
      <w:r>
        <w:rPr>
          <w:rFonts w:cs="Arial"/>
        </w:rPr>
        <w:t>ü</w:t>
      </w:r>
      <w:r>
        <w:rPr>
          <w:rFonts w:cs="Arial"/>
        </w:rPr>
        <w:t xml:space="preserve">ber dem Werkzeug CAS hergestellt. Gleichwohl werden die im Fach Mathematik anzustrebenden Kompetenzen und deren </w:t>
      </w:r>
      <w:r>
        <w:rPr>
          <w:rFonts w:cs="Arial"/>
        </w:rPr>
        <w:t>Ü</w:t>
      </w:r>
      <w:r>
        <w:rPr>
          <w:rFonts w:cs="Arial"/>
        </w:rPr>
        <w:t>berpr</w:t>
      </w:r>
      <w:r>
        <w:rPr>
          <w:rFonts w:cs="Arial"/>
        </w:rPr>
        <w:t>ü</w:t>
      </w:r>
      <w:r>
        <w:rPr>
          <w:rFonts w:cs="Arial"/>
        </w:rPr>
        <w:t>fung durch die noch verbliebenen Schwerpunktsetzungen ad</w:t>
      </w:r>
      <w:r>
        <w:rPr>
          <w:rFonts w:cs="Arial"/>
        </w:rPr>
        <w:t>ä</w:t>
      </w:r>
      <w:r>
        <w:rPr>
          <w:rFonts w:cs="Arial"/>
        </w:rPr>
        <w:t>quat repr</w:t>
      </w:r>
      <w:r>
        <w:rPr>
          <w:rFonts w:cs="Arial"/>
        </w:rPr>
        <w:t>ä</w:t>
      </w:r>
      <w:r>
        <w:rPr>
          <w:rFonts w:cs="Arial"/>
        </w:rPr>
        <w:t>sentiert.</w:t>
      </w:r>
    </w:p>
    <w:p w:rsidR="001F2FCA" w:rsidRDefault="001F2FCA">
      <w:pPr>
        <w:pStyle w:val="V-Normaltext"/>
        <w:widowControl/>
      </w:pPr>
    </w:p>
    <w:p w:rsidR="001F2FCA" w:rsidRDefault="001F2FCA">
      <w:pPr>
        <w:pStyle w:val="V-ListeNormal1"/>
        <w:keepNext/>
        <w:widowControl/>
        <w:rPr>
          <w:rFonts w:cs="Arial"/>
        </w:rPr>
      </w:pPr>
      <w:r>
        <w:t xml:space="preserve">In den </w:t>
      </w:r>
      <w:r>
        <w:t>ü</w:t>
      </w:r>
      <w:r>
        <w:t>brigen F</w:t>
      </w:r>
      <w:r>
        <w:t>ä</w:t>
      </w:r>
      <w:r>
        <w:t>chern wurden die Vorgaben in dem Ma</w:t>
      </w:r>
      <w:r>
        <w:t>ß</w:t>
      </w:r>
      <w:r>
        <w:t>e ver</w:t>
      </w:r>
      <w:r>
        <w:t>ä</w:t>
      </w:r>
      <w:r>
        <w:t xml:space="preserve">ndert, wie es vor dem Doppeljahrgang </w:t>
      </w:r>
      <w:r>
        <w:t>ü</w:t>
      </w:r>
      <w:r>
        <w:t>blich war, das hei</w:t>
      </w:r>
      <w:r>
        <w:t>ß</w:t>
      </w:r>
      <w:r>
        <w:t xml:space="preserve">t, strukturelle </w:t>
      </w:r>
      <w:r>
        <w:t>Ä</w:t>
      </w:r>
      <w:r>
        <w:t>nderungen wurden nicht vorgenommen, sondern es wurden in der Regel an einzelnen Stellen inhaltliche Schwerpunkte ausgetauscht.</w:t>
      </w:r>
    </w:p>
    <w:p w:rsidR="001F2FCA" w:rsidRDefault="001F2FCA">
      <w:pPr>
        <w:pStyle w:val="V-Normaltext"/>
        <w:widowControl/>
        <w:rPr>
          <w:rFonts w:cs="Calibri"/>
        </w:rPr>
      </w:pPr>
    </w:p>
    <w:p w:rsidR="001F2FCA" w:rsidRDefault="001F2FCA">
      <w:pPr>
        <w:pStyle w:val="V-ListeNormal1"/>
        <w:keepNext/>
        <w:widowControl/>
      </w:pPr>
      <w:r>
        <w:rPr>
          <w:rFonts w:cs="Arial"/>
        </w:rPr>
        <w:t>Gem</w:t>
      </w:r>
      <w:r>
        <w:rPr>
          <w:rFonts w:cs="Arial"/>
        </w:rPr>
        <w:t>äß</w:t>
      </w:r>
      <w:r>
        <w:rPr>
          <w:rFonts w:cs="Arial"/>
        </w:rPr>
        <w:t xml:space="preserve"> VV 33.2 zu </w:t>
      </w:r>
      <w:r>
        <w:rPr>
          <w:rFonts w:cs="Arial"/>
        </w:rPr>
        <w:t>§</w:t>
      </w:r>
      <w:r>
        <w:rPr>
          <w:rFonts w:cs="Arial"/>
        </w:rPr>
        <w:t xml:space="preserve"> 33 Abs. 2 APO-GOSt gelten die Vorgaben auch f</w:t>
      </w:r>
      <w:r>
        <w:rPr>
          <w:rFonts w:cs="Arial"/>
        </w:rPr>
        <w:t>ü</w:t>
      </w:r>
      <w:r>
        <w:rPr>
          <w:rFonts w:cs="Arial"/>
        </w:rPr>
        <w:t>r Sch</w:t>
      </w:r>
      <w:r>
        <w:rPr>
          <w:rFonts w:cs="Arial"/>
        </w:rPr>
        <w:t>ü</w:t>
      </w:r>
      <w:r>
        <w:rPr>
          <w:rFonts w:cs="Arial"/>
        </w:rPr>
        <w:t>lerinnen und Sch</w:t>
      </w:r>
      <w:r>
        <w:rPr>
          <w:rFonts w:cs="Arial"/>
        </w:rPr>
        <w:t>ü</w:t>
      </w:r>
      <w:r>
        <w:rPr>
          <w:rFonts w:cs="Arial"/>
        </w:rPr>
        <w:t>ler, die im Jahr 2014 die Abiturpr</w:t>
      </w:r>
      <w:r>
        <w:rPr>
          <w:rFonts w:cs="Arial"/>
        </w:rPr>
        <w:t>ü</w:t>
      </w:r>
      <w:r>
        <w:rPr>
          <w:rFonts w:cs="Arial"/>
        </w:rPr>
        <w:t xml:space="preserve">fung wiederholen. Sie sind von den Schulen </w:t>
      </w:r>
      <w:r>
        <w:rPr>
          <w:rFonts w:cs="Arial"/>
        </w:rPr>
        <w:t>ü</w:t>
      </w:r>
      <w:r>
        <w:rPr>
          <w:rFonts w:cs="Arial"/>
        </w:rPr>
        <w:t xml:space="preserve">ber die sie betreffenden </w:t>
      </w:r>
      <w:r>
        <w:rPr>
          <w:rFonts w:cs="Arial"/>
        </w:rPr>
        <w:t>Ä</w:t>
      </w:r>
      <w:r>
        <w:rPr>
          <w:rFonts w:cs="Arial"/>
        </w:rPr>
        <w:t>nderungen rechtzeitig und aktenkundig zu informieren sowie bei der Vorbereitung auf zwischenzeitlich ge</w:t>
      </w:r>
      <w:r>
        <w:rPr>
          <w:rFonts w:cs="Arial"/>
        </w:rPr>
        <w:t>ä</w:t>
      </w:r>
      <w:r>
        <w:rPr>
          <w:rFonts w:cs="Arial"/>
        </w:rPr>
        <w:t>nderte Schwerpunkte geeignet zu unterst</w:t>
      </w:r>
      <w:r>
        <w:rPr>
          <w:rFonts w:cs="Arial"/>
        </w:rPr>
        <w:t>ü</w:t>
      </w:r>
      <w:r>
        <w:rPr>
          <w:rFonts w:cs="Arial"/>
        </w:rPr>
        <w:t>tzen. Die Vorbereitung auf die Abiturpr</w:t>
      </w:r>
      <w:r>
        <w:rPr>
          <w:rFonts w:cs="Arial"/>
        </w:rPr>
        <w:t>ü</w:t>
      </w:r>
      <w:r>
        <w:rPr>
          <w:rFonts w:cs="Arial"/>
        </w:rPr>
        <w:t>fung entsprechend den Vorgaben bleibt jedoch grunds</w:t>
      </w:r>
      <w:r>
        <w:rPr>
          <w:rFonts w:cs="Arial"/>
        </w:rPr>
        <w:t>ä</w:t>
      </w:r>
      <w:r>
        <w:rPr>
          <w:rFonts w:cs="Arial"/>
        </w:rPr>
        <w:t>tzlich in der Verantwortung der Sch</w:t>
      </w:r>
      <w:r>
        <w:rPr>
          <w:rFonts w:cs="Arial"/>
        </w:rPr>
        <w:t>ü</w:t>
      </w:r>
      <w:r>
        <w:rPr>
          <w:rFonts w:cs="Arial"/>
        </w:rPr>
        <w:t>lerinnen und Sch</w:t>
      </w:r>
      <w:r>
        <w:rPr>
          <w:rFonts w:cs="Arial"/>
        </w:rPr>
        <w:t>ü</w:t>
      </w:r>
      <w:r>
        <w:rPr>
          <w:rFonts w:cs="Arial"/>
        </w:rPr>
        <w:t>ler selbst.</w:t>
      </w:r>
    </w:p>
    <w:p w:rsidR="001F2FCA" w:rsidRDefault="001F2FCA">
      <w:pPr>
        <w:pStyle w:val="V-Normaltext"/>
        <w:widowControl/>
      </w:pPr>
    </w:p>
    <w:p w:rsidR="001F2FCA" w:rsidRDefault="001F2FCA">
      <w:pPr>
        <w:pStyle w:val="V-ListeNormal1"/>
        <w:keepNext/>
        <w:widowControl/>
        <w:ind w:left="227" w:hanging="227"/>
        <w:rPr>
          <w:rFonts w:cs="Arial"/>
        </w:rPr>
      </w:pPr>
      <w:r>
        <w:t>2.</w:t>
      </w:r>
      <w:r>
        <w:tab/>
        <w:t>Die Vorgaben gelten f</w:t>
      </w:r>
      <w:r>
        <w:t>ü</w:t>
      </w:r>
      <w:r>
        <w:t>r die schriftlichen Pr</w:t>
      </w:r>
      <w:r>
        <w:t>ü</w:t>
      </w:r>
      <w:r>
        <w:t>fungen im Rahmen der Externenpr</w:t>
      </w:r>
      <w:r>
        <w:t>ü</w:t>
      </w:r>
      <w:r>
        <w:t>fung und f</w:t>
      </w:r>
      <w:r>
        <w:t>ü</w:t>
      </w:r>
      <w:r>
        <w:t>r die Abiturpr</w:t>
      </w:r>
      <w:r>
        <w:t>ü</w:t>
      </w:r>
      <w:r>
        <w:t>fungen an den Waldorf-Schulen in den zentralen Pr</w:t>
      </w:r>
      <w:r>
        <w:t>ü</w:t>
      </w:r>
      <w:r>
        <w:t>fungsf</w:t>
      </w:r>
      <w:r>
        <w:t>ä</w:t>
      </w:r>
      <w:r>
        <w:t>chern analog.</w:t>
      </w:r>
    </w:p>
    <w:p w:rsidR="001F2FCA" w:rsidRDefault="001F2FCA">
      <w:pPr>
        <w:pStyle w:val="V-ListeNormal1"/>
        <w:widowControl/>
        <w:ind w:left="455"/>
      </w:pPr>
    </w:p>
    <w:p w:rsidR="001F2FCA" w:rsidRDefault="001F2FCA">
      <w:pPr>
        <w:pStyle w:val="V-ListeNormal1"/>
        <w:keepNext/>
        <w:widowControl/>
        <w:ind w:left="227" w:hanging="227"/>
        <w:rPr>
          <w:rFonts w:cs="Arial"/>
        </w:rPr>
      </w:pPr>
      <w:r>
        <w:rPr>
          <w:rFonts w:cs="Arial"/>
        </w:rPr>
        <w:t>3.</w:t>
      </w:r>
      <w:r>
        <w:rPr>
          <w:rFonts w:cs="Arial"/>
        </w:rPr>
        <w:tab/>
        <w:t xml:space="preserve">Die Vorgaben sind  zum Download im Bildungsserver des Landes </w:t>
      </w:r>
      <w:hyperlink r:id="rId7" w:history="1">
        <w:r>
          <w:rPr>
            <w:rFonts w:cs="Arial"/>
          </w:rPr>
          <w:t>Nordrhein-Westfalen (www.standardsicherung.nrw.de</w:t>
        </w:r>
      </w:hyperlink>
      <w:r>
        <w:t>) eingestellt. Zentrale Hinweise zur Umsetzung dieser Vorgaben, die sich bezogen auf die einzelnen F</w:t>
      </w:r>
      <w:r>
        <w:t>ä</w:t>
      </w:r>
      <w:r>
        <w:t>cher ggf. im Kontext der Beratungen durch die Fachaufsicht der Bezirksregierungen und innerhalb der Schulen ergeben, werden kontinuierlich ebenfalls dort zug</w:t>
      </w:r>
      <w:r>
        <w:t>ä</w:t>
      </w:r>
      <w:r>
        <w:t>nglich gemacht.</w:t>
      </w:r>
    </w:p>
    <w:p w:rsidR="001F2FCA" w:rsidRDefault="001F2FCA">
      <w:pPr>
        <w:pStyle w:val="V-ListeNormal1"/>
        <w:widowControl/>
        <w:spacing w:before="10" w:after="50"/>
        <w:ind w:left="455"/>
      </w:pPr>
    </w:p>
    <w:p w:rsidR="001F2FCA" w:rsidRDefault="001F2FCA">
      <w:pPr>
        <w:pStyle w:val="V-Normaltext"/>
        <w:widowControl/>
      </w:pPr>
    </w:p>
    <w:p w:rsidR="001F2FCA" w:rsidRDefault="001F2FCA">
      <w:pPr>
        <w:pStyle w:val="V-Normaltext"/>
        <w:widowControl/>
        <w:jc w:val="right"/>
      </w:pPr>
      <w:r>
        <w:rPr>
          <w:rFonts w:cs="Calibri"/>
        </w:rPr>
        <w:t>ABl. NRW. 10/11 S. 566</w:t>
      </w:r>
    </w:p>
    <w:p w:rsidR="001F2FCA" w:rsidRDefault="001F2FCA">
      <w:pPr>
        <w:pStyle w:val="V-Normaltext"/>
        <w:widowControl/>
        <w:rPr>
          <w:rFonts w:cs="Calibri"/>
        </w:rPr>
      </w:pPr>
    </w:p>
    <w:p w:rsidR="001F2FCA" w:rsidRDefault="001F2FCA">
      <w:pPr>
        <w:pStyle w:val="V-Normaltext"/>
        <w:widowControl/>
      </w:pPr>
    </w:p>
    <w:sectPr w:rsidR="00000000">
      <w:footerReference w:type="default" r:id="rId8"/>
      <w:footnotePr>
        <w:numRestart w:val="eachPage"/>
      </w:footnotePr>
      <w:endnotePr>
        <w:numRestart w:val="eachSect"/>
      </w:endnotePr>
      <w:pgSz w:w="11906" w:h="16838"/>
      <w:pgMar w:top="1118" w:right="784" w:bottom="706" w:left="1124" w:header="720" w:footer="720" w:gutter="0"/>
      <w:pgNumType w:chapSep="period"/>
      <w:cols w:num="2" w:space="227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endnote w:type="separator" w:id="-1">
    <w:p w:rsidR="001F2FCA" w:rsidRDefault="001F2FCA">
      <w:r>
        <w:separator/>
      </w:r>
    </w:p>
  </w:endnote>
  <w:endnote w:type="continuationSeparator" w:id="0">
    <w:p w:rsidR="001F2FCA" w:rsidRDefault="001F2FCA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Monotype Sorts">
    <w:panose1 w:val="00000000000000000000"/>
    <w:charset w:val="02"/>
    <w:family w:val="auto"/>
    <w:notTrueType/>
    <w:pitch w:val="default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p w:rsidR="001F2FCA" w:rsidRDefault="001F2FCA">
    <w:pPr>
      <w:widowControl/>
      <w:spacing w:before="10" w:after="10" w:line="150" w:lineRule="exact"/>
      <w:rPr>
        <w:rFonts w:cs="Calibri"/>
      </w:rPr>
    </w:pPr>
    <w:r>
      <w:rPr>
        <w:rFonts w:ascii="Arial" w:hAnsi="Arial" w:cs="Arial"/>
        <w:color w:val="000000"/>
        <w:sz w:val="15"/>
      </w:rPr>
      <w:t>©</w:t>
    </w:r>
    <w:r>
      <w:rPr>
        <w:rFonts w:ascii="Arial" w:hAnsi="Arial" w:cs="Arial"/>
        <w:color w:val="000000"/>
        <w:sz w:val="15"/>
      </w:rPr>
      <w:t xml:space="preserve"> Ritterbach Verlag GmbH</w:t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footnote w:type="separator" w:id="-1">
    <w:p w:rsidR="001F2FCA" w:rsidRDefault="001F2FCA">
      <w:pPr>
        <w:widowControl/>
        <w:rPr>
          <w:rFonts w:cs="Calibri"/>
          <w:sz w:val="2"/>
        </w:rPr>
      </w:pPr>
      <w:r>
        <w:separator/>
      </w:r>
    </w:p>
  </w:footnote>
  <w:footnote w:type="continuationSeparator" w:id="0">
    <w:p w:rsidR="001F2FCA" w:rsidRDefault="001F2FCA">
      <w:pPr>
        <w:widowControl/>
        <w:rPr>
          <w:rFonts w:cs="Calibri"/>
          <w:sz w:val="2"/>
        </w:rPr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/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 w16du">
  <w:zoom w:percent="100"/>
  <w:embedSystemFonts/>
  <w:mirrorMargins/>
  <w:bordersDoNotSurroundHeader/>
  <w:bordersDoNotSurroundFooter/>
  <w:defaultTabStop w:val="720"/>
  <w:autoHyphenation/>
  <w:hyphenationZone w:val="425"/>
  <w:drawingGridHorizontalSpacing w:val="120"/>
  <w:drawingGridVerticalSpacing w:val="120"/>
  <w:displayHorizontalDrawingGridEvery w:val="0"/>
  <w:displayVerticalDrawingGridEvery w:val="3"/>
  <w:doNotUseMarginsForDrawingGridOrigin/>
  <w:characterSpacingControl w:val="doNotCompress"/>
  <w:doNotValidateAgainstSchema/>
  <w:doNotDemarcateInvalidXml/>
  <w:footnotePr>
    <w:numRestart w:val="eachPage"/>
    <w:footnote w:id="-1"/>
    <w:footnote w:id="0"/>
  </w:footnotePr>
  <w:endnotePr>
    <w:numRestart w:val="eachSect"/>
    <w:endnote w:id="-1"/>
    <w:endnote w:id="0"/>
  </w:endnotePr>
  <w:compat>
    <w:spaceForUL/>
    <w:doNotLeaveBackslashAlone/>
    <w:ulTrailSpace/>
    <w:forgetLastTabAlignment/>
    <w:adjustLineHeightInTable/>
    <w:layoutRawTableWidth/>
    <w:layoutTableRowsApart/>
    <w:useWord97LineBreakRules/>
    <w:doNotSnapToGridInCell/>
    <w:selectFldWithFirstOrLastChar/>
    <w:doNotWrapTextWithPunct/>
    <w:doNotUseEastAsianBreakRules/>
    <w:useFELayout/>
    <w:useNormalStyleForList/>
    <w:doNotUseIndentAsNumberingTabStop/>
    <w:useAltKinsokuLineBreakRules/>
    <w:allowSpaceOfSameStyleInTable/>
    <w:doNotSuppressIndentation/>
    <w:doNotAutofitConstrainedTables/>
    <w:autofitToFirstFixedWidthCell/>
    <w:displayHangulFixedWidth/>
    <w:doNotBreakConstrainedForcedTable/>
    <w:doNotVertAlignInTxbx/>
    <w:useAnsiKerningPairs/>
    <w:cachedColBalance/>
    <w:compatSetting w:name="compatibilityMode" w:uri="http://schemas.microsoft.com/office/word" w:val="12"/>
    <w:compatSetting w:name="useWord2013TrackBottomHyphenation" w:uri="http://schemas.microsoft.com/office/word" w:val="0"/>
  </w:compat>
  <w:rsids>
    <w:rsidRoot w:val="00E81B2D"/>
    <w:rsid w:val="001F2FCA"/>
    <w:rsid w:val="00A339FA"/>
    <w:rsid w:val="00E81B2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de-DE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shapeDefaults>
    <o:shapedefaults v:ext="edit" spidmax="1026"/>
    <o:shapelayout v:ext="edit">
      <o:idmap v:ext="edit" data="1"/>
    </o:shapelayout>
  </w:shapeDefaults>
  <w:decimalSymbol w:val=","/>
  <w:listSeparator w:val=";"/>
  <w14:defaultImageDpi w14:val="0"/>
  <w15:docId w15:val="{878B4888-F3CA-4280-9248-1F3B679FBB5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docDefaults>
    <w:rPrDefault>
      <w:rPr>
        <w:rFonts w:asciiTheme="minorHAnsi" w:eastAsiaTheme="minorEastAsia" w:hAnsiTheme="minorHAnsi" w:cs="Times New Roman"/>
        <w:szCs w:val="22"/>
        <w:lang w:val="de-DE" w:eastAsia="de-DE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/>
    <w:lsdException w:name="annotation reference" w:semiHidden="1" w:unhideWhenUsed="1"/>
    <w:lsdException w:name="line number" w:semiHidden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Standard">
    <w:name w:val="Normal"/>
    <w:qFormat/>
    <w:pPr>
      <w:widowControl w:val="0"/>
      <w:autoSpaceDE w:val="0"/>
      <w:autoSpaceDN w:val="0"/>
      <w:adjustRightInd w:val="0"/>
    </w:pPr>
    <w:rPr>
      <w:sz w:val="22"/>
      <w:szCs w:val="24"/>
    </w:rPr>
  </w:style>
  <w:style w:type="character" w:default="1" w:styleId="Absatz-Standardschriftart">
    <w:name w:val="Default Paragraph Font"/>
    <w:uiPriority w:val="99"/>
  </w:style>
  <w:style w:type="table" w:default="1" w:styleId="NormaleTabelle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KeineListe">
    <w:name w:val="No List"/>
    <w:uiPriority w:val="99"/>
    <w:semiHidden/>
    <w:unhideWhenUsed/>
  </w:style>
  <w:style w:type="paragraph" w:styleId="berarbeitung">
    <w:name w:val="Revision"/>
    <w:uiPriority w:val="99"/>
    <w:pPr>
      <w:widowControl w:val="0"/>
      <w:autoSpaceDE w:val="0"/>
      <w:autoSpaceDN w:val="0"/>
      <w:adjustRightInd w:val="0"/>
      <w:spacing w:line="240" w:lineRule="exact"/>
    </w:pPr>
    <w:rPr>
      <w:rFonts w:cs="Calibri"/>
      <w:sz w:val="22"/>
      <w:szCs w:val="24"/>
    </w:rPr>
  </w:style>
  <w:style w:type="paragraph" w:customStyle="1" w:styleId="V-Bass-Nr">
    <w:name w:val="V-Bass-Nr"/>
    <w:uiPriority w:val="99"/>
    <w:pPr>
      <w:widowControl w:val="0"/>
      <w:autoSpaceDE w:val="0"/>
      <w:autoSpaceDN w:val="0"/>
      <w:adjustRightInd w:val="0"/>
      <w:ind w:left="1" w:hanging="1"/>
      <w:jc w:val="both"/>
    </w:pPr>
    <w:rPr>
      <w:rFonts w:ascii="Arial" w:hAnsi="Arial" w:cs="Arial"/>
      <w:b/>
      <w:color w:val="000000"/>
      <w:sz w:val="18"/>
      <w:szCs w:val="24"/>
    </w:rPr>
  </w:style>
  <w:style w:type="paragraph" w:customStyle="1" w:styleId="V-Bass-dcber">
    <w:name w:val="V-Bass-Üdcber"/>
    <w:uiPriority w:val="99"/>
    <w:pPr>
      <w:widowControl w:val="0"/>
      <w:autoSpaceDE w:val="0"/>
      <w:autoSpaceDN w:val="0"/>
      <w:adjustRightInd w:val="0"/>
      <w:spacing w:after="40" w:line="180" w:lineRule="exact"/>
      <w:ind w:left="1" w:hanging="1"/>
      <w:jc w:val="center"/>
    </w:pPr>
    <w:rPr>
      <w:rFonts w:ascii="Arial" w:hAnsi="Arial" w:cs="Calibri"/>
      <w:b/>
      <w:color w:val="000000"/>
      <w:sz w:val="18"/>
      <w:szCs w:val="24"/>
    </w:rPr>
  </w:style>
  <w:style w:type="paragraph" w:customStyle="1" w:styleId="V-Fudfnote">
    <w:name w:val="V-Fußdfnote"/>
    <w:uiPriority w:val="99"/>
    <w:pPr>
      <w:widowControl w:val="0"/>
      <w:tabs>
        <w:tab w:val="left" w:pos="567"/>
      </w:tabs>
      <w:autoSpaceDE w:val="0"/>
      <w:autoSpaceDN w:val="0"/>
      <w:adjustRightInd w:val="0"/>
      <w:spacing w:before="40" w:line="120" w:lineRule="exact"/>
      <w:ind w:left="171" w:hanging="1"/>
    </w:pPr>
    <w:rPr>
      <w:rFonts w:ascii="Arial" w:hAnsi="Arial" w:cs="Arial"/>
      <w:i/>
      <w:color w:val="000000"/>
      <w:sz w:val="12"/>
      <w:szCs w:val="24"/>
    </w:rPr>
  </w:style>
  <w:style w:type="paragraph" w:customStyle="1" w:styleId="V-FudfnoteBereinigt">
    <w:name w:val="V-FußdfnoteBereinigt"/>
    <w:uiPriority w:val="99"/>
    <w:pPr>
      <w:widowControl w:val="0"/>
      <w:autoSpaceDE w:val="0"/>
      <w:autoSpaceDN w:val="0"/>
      <w:adjustRightInd w:val="0"/>
      <w:spacing w:before="40" w:line="120" w:lineRule="exact"/>
      <w:ind w:left="228" w:hanging="1"/>
      <w:jc w:val="both"/>
    </w:pPr>
    <w:rPr>
      <w:rFonts w:ascii="Arial" w:hAnsi="Arial" w:cs="Calibri"/>
      <w:color w:val="000000"/>
      <w:sz w:val="12"/>
      <w:szCs w:val="24"/>
    </w:rPr>
  </w:style>
  <w:style w:type="paragraph" w:customStyle="1" w:styleId="V-Fudfnotenziffer">
    <w:name w:val="V-Fußdfnotenziffer"/>
    <w:uiPriority w:val="99"/>
    <w:pPr>
      <w:widowControl w:val="0"/>
      <w:autoSpaceDE w:val="0"/>
      <w:autoSpaceDN w:val="0"/>
      <w:adjustRightInd w:val="0"/>
      <w:ind w:left="1" w:hanging="1"/>
    </w:pPr>
    <w:rPr>
      <w:rFonts w:ascii="Arial" w:hAnsi="Arial" w:cs="Arial"/>
      <w:color w:val="000000"/>
      <w:sz w:val="12"/>
      <w:szCs w:val="24"/>
      <w:vertAlign w:val="superscript"/>
    </w:rPr>
  </w:style>
  <w:style w:type="paragraph" w:customStyle="1" w:styleId="V-FudfnotenzifferBereinigt">
    <w:name w:val="V-FußdfnotenzifferBereinigt"/>
    <w:uiPriority w:val="99"/>
    <w:pPr>
      <w:widowControl w:val="0"/>
      <w:autoSpaceDE w:val="0"/>
      <w:autoSpaceDN w:val="0"/>
      <w:adjustRightInd w:val="0"/>
      <w:ind w:left="1" w:hanging="1"/>
    </w:pPr>
    <w:rPr>
      <w:rFonts w:ascii="Arial" w:hAnsi="Arial" w:cs="Calibri"/>
      <w:b/>
      <w:color w:val="000000"/>
      <w:sz w:val="12"/>
      <w:szCs w:val="24"/>
      <w:vertAlign w:val="superscript"/>
    </w:rPr>
  </w:style>
  <w:style w:type="paragraph" w:customStyle="1" w:styleId="V-FudfnoteRdErl">
    <w:name w:val="V-FußdfnoteRdErl"/>
    <w:uiPriority w:val="99"/>
    <w:pPr>
      <w:widowControl w:val="0"/>
      <w:autoSpaceDE w:val="0"/>
      <w:autoSpaceDN w:val="0"/>
      <w:adjustRightInd w:val="0"/>
      <w:spacing w:line="120" w:lineRule="exact"/>
      <w:ind w:left="1" w:hanging="1"/>
    </w:pPr>
    <w:rPr>
      <w:rFonts w:ascii="Arial" w:hAnsi="Arial" w:cs="Arial"/>
      <w:color w:val="000000"/>
      <w:sz w:val="12"/>
      <w:szCs w:val="24"/>
    </w:rPr>
  </w:style>
  <w:style w:type="paragraph" w:customStyle="1" w:styleId="V-Haupttext1">
    <w:name w:val="V-Haupttext1"/>
    <w:uiPriority w:val="99"/>
    <w:pPr>
      <w:widowControl w:val="0"/>
      <w:autoSpaceDE w:val="0"/>
      <w:autoSpaceDN w:val="0"/>
      <w:adjustRightInd w:val="0"/>
      <w:spacing w:after="40" w:line="160" w:lineRule="exact"/>
      <w:ind w:left="455" w:hanging="1"/>
      <w:jc w:val="both"/>
    </w:pPr>
    <w:rPr>
      <w:rFonts w:ascii="Arial" w:hAnsi="Arial" w:cs="Calibri"/>
      <w:color w:val="000000"/>
      <w:sz w:val="15"/>
      <w:szCs w:val="24"/>
    </w:rPr>
  </w:style>
  <w:style w:type="paragraph" w:customStyle="1" w:styleId="V-Haupttext2">
    <w:name w:val="V-Haupttext2"/>
    <w:uiPriority w:val="99"/>
    <w:pPr>
      <w:widowControl w:val="0"/>
      <w:autoSpaceDE w:val="0"/>
      <w:autoSpaceDN w:val="0"/>
      <w:adjustRightInd w:val="0"/>
      <w:spacing w:after="40" w:line="160" w:lineRule="exact"/>
      <w:ind w:left="681" w:hanging="1"/>
      <w:jc w:val="both"/>
    </w:pPr>
    <w:rPr>
      <w:rFonts w:ascii="Arial" w:hAnsi="Arial" w:cs="Arial"/>
      <w:color w:val="000000"/>
      <w:sz w:val="15"/>
      <w:szCs w:val="24"/>
    </w:rPr>
  </w:style>
  <w:style w:type="paragraph" w:customStyle="1" w:styleId="V-Haupttext3">
    <w:name w:val="V-Haupttext3"/>
    <w:uiPriority w:val="99"/>
    <w:pPr>
      <w:widowControl w:val="0"/>
      <w:autoSpaceDE w:val="0"/>
      <w:autoSpaceDN w:val="0"/>
      <w:adjustRightInd w:val="0"/>
      <w:spacing w:after="40" w:line="160" w:lineRule="exact"/>
      <w:ind w:left="908" w:hanging="1"/>
      <w:jc w:val="both"/>
    </w:pPr>
    <w:rPr>
      <w:rFonts w:ascii="Arial" w:hAnsi="Arial" w:cs="Calibri"/>
      <w:color w:val="000000"/>
      <w:sz w:val="15"/>
      <w:szCs w:val="24"/>
    </w:rPr>
  </w:style>
  <w:style w:type="paragraph" w:customStyle="1" w:styleId="V-Hinweistext">
    <w:name w:val="V-Hinweistext"/>
    <w:uiPriority w:val="99"/>
    <w:pPr>
      <w:widowControl w:val="0"/>
      <w:autoSpaceDE w:val="0"/>
      <w:autoSpaceDN w:val="0"/>
      <w:adjustRightInd w:val="0"/>
      <w:spacing w:line="200" w:lineRule="exact"/>
      <w:ind w:left="1" w:hanging="1"/>
      <w:jc w:val="both"/>
    </w:pPr>
    <w:rPr>
      <w:rFonts w:ascii="Arial" w:hAnsi="Arial" w:cs="Arial"/>
      <w:color w:val="000000"/>
      <w:sz w:val="18"/>
      <w:szCs w:val="24"/>
    </w:rPr>
  </w:style>
  <w:style w:type="paragraph" w:customStyle="1" w:styleId="V-Kursiv">
    <w:name w:val="V-Kursiv"/>
    <w:uiPriority w:val="99"/>
    <w:pPr>
      <w:widowControl w:val="0"/>
      <w:autoSpaceDE w:val="0"/>
      <w:autoSpaceDN w:val="0"/>
      <w:adjustRightInd w:val="0"/>
      <w:spacing w:after="40" w:line="160" w:lineRule="exact"/>
      <w:ind w:left="1" w:hanging="1"/>
      <w:jc w:val="both"/>
    </w:pPr>
    <w:rPr>
      <w:rFonts w:ascii="Arial" w:hAnsi="Arial" w:cs="Calibri"/>
      <w:i/>
      <w:color w:val="000000"/>
      <w:sz w:val="15"/>
      <w:szCs w:val="24"/>
    </w:rPr>
  </w:style>
  <w:style w:type="paragraph" w:customStyle="1" w:styleId="V-ListeHaupttext1">
    <w:name w:val="V-ListeHaupttext1"/>
    <w:uiPriority w:val="99"/>
    <w:pPr>
      <w:widowControl w:val="0"/>
      <w:autoSpaceDE w:val="0"/>
      <w:autoSpaceDN w:val="0"/>
      <w:adjustRightInd w:val="0"/>
      <w:spacing w:after="40" w:line="160" w:lineRule="exact"/>
      <w:ind w:left="681" w:hanging="1"/>
      <w:jc w:val="both"/>
    </w:pPr>
    <w:rPr>
      <w:rFonts w:ascii="Arial" w:hAnsi="Arial" w:cs="Arial"/>
      <w:color w:val="000000"/>
      <w:sz w:val="15"/>
      <w:szCs w:val="24"/>
    </w:rPr>
  </w:style>
  <w:style w:type="paragraph" w:customStyle="1" w:styleId="V-ListeHaupttext2">
    <w:name w:val="V-ListeHaupttext2"/>
    <w:uiPriority w:val="99"/>
    <w:pPr>
      <w:widowControl w:val="0"/>
      <w:autoSpaceDE w:val="0"/>
      <w:autoSpaceDN w:val="0"/>
      <w:adjustRightInd w:val="0"/>
      <w:spacing w:after="40" w:line="160" w:lineRule="exact"/>
      <w:ind w:left="965" w:hanging="1"/>
      <w:jc w:val="both"/>
    </w:pPr>
    <w:rPr>
      <w:rFonts w:ascii="Arial" w:hAnsi="Arial" w:cs="Calibri"/>
      <w:color w:val="000000"/>
      <w:sz w:val="15"/>
      <w:szCs w:val="24"/>
    </w:rPr>
  </w:style>
  <w:style w:type="paragraph" w:customStyle="1" w:styleId="V-ListeHaupttext3">
    <w:name w:val="V-ListeHaupttext3"/>
    <w:uiPriority w:val="99"/>
    <w:pPr>
      <w:widowControl w:val="0"/>
      <w:autoSpaceDE w:val="0"/>
      <w:autoSpaceDN w:val="0"/>
      <w:adjustRightInd w:val="0"/>
      <w:spacing w:after="40" w:line="160" w:lineRule="exact"/>
      <w:ind w:left="1929" w:hanging="1"/>
      <w:jc w:val="both"/>
    </w:pPr>
    <w:rPr>
      <w:rFonts w:ascii="Arial" w:hAnsi="Arial" w:cs="Arial"/>
      <w:color w:val="000000"/>
      <w:sz w:val="15"/>
      <w:szCs w:val="24"/>
    </w:rPr>
  </w:style>
  <w:style w:type="paragraph" w:customStyle="1" w:styleId="V-ListeNormal1">
    <w:name w:val="V-ListeNormal1"/>
    <w:uiPriority w:val="99"/>
    <w:pPr>
      <w:widowControl w:val="0"/>
      <w:autoSpaceDE w:val="0"/>
      <w:autoSpaceDN w:val="0"/>
      <w:adjustRightInd w:val="0"/>
      <w:spacing w:after="40" w:line="160" w:lineRule="exact"/>
      <w:ind w:left="228" w:hanging="1"/>
      <w:jc w:val="both"/>
    </w:pPr>
    <w:rPr>
      <w:rFonts w:ascii="Arial" w:hAnsi="Arial" w:cs="Calibri"/>
      <w:color w:val="000000"/>
      <w:sz w:val="15"/>
      <w:szCs w:val="24"/>
    </w:rPr>
  </w:style>
  <w:style w:type="paragraph" w:customStyle="1" w:styleId="V-ListeNormal2">
    <w:name w:val="V-ListeNormal2"/>
    <w:uiPriority w:val="99"/>
    <w:pPr>
      <w:widowControl w:val="0"/>
      <w:tabs>
        <w:tab w:val="left" w:pos="283"/>
      </w:tabs>
      <w:autoSpaceDE w:val="0"/>
      <w:autoSpaceDN w:val="0"/>
      <w:adjustRightInd w:val="0"/>
      <w:spacing w:after="40" w:line="160" w:lineRule="exact"/>
      <w:ind w:left="511" w:hanging="1"/>
      <w:jc w:val="both"/>
    </w:pPr>
    <w:rPr>
      <w:rFonts w:ascii="Arial" w:hAnsi="Arial" w:cs="Arial"/>
      <w:color w:val="000000"/>
      <w:sz w:val="15"/>
      <w:szCs w:val="24"/>
    </w:rPr>
  </w:style>
  <w:style w:type="paragraph" w:customStyle="1" w:styleId="V-ListeNormal3">
    <w:name w:val="V-ListeNormal3"/>
    <w:uiPriority w:val="99"/>
    <w:pPr>
      <w:widowControl w:val="0"/>
      <w:autoSpaceDE w:val="0"/>
      <w:autoSpaceDN w:val="0"/>
      <w:adjustRightInd w:val="0"/>
      <w:spacing w:after="40" w:line="160" w:lineRule="exact"/>
      <w:ind w:left="681" w:hanging="1"/>
      <w:jc w:val="both"/>
    </w:pPr>
    <w:rPr>
      <w:rFonts w:ascii="Arial" w:hAnsi="Arial" w:cs="Calibri"/>
      <w:color w:val="000000"/>
      <w:sz w:val="15"/>
      <w:szCs w:val="24"/>
    </w:rPr>
  </w:style>
  <w:style w:type="paragraph" w:customStyle="1" w:styleId="V-Normaltext">
    <w:name w:val="V-Normaltext"/>
    <w:uiPriority w:val="99"/>
    <w:pPr>
      <w:widowControl w:val="0"/>
      <w:autoSpaceDE w:val="0"/>
      <w:autoSpaceDN w:val="0"/>
      <w:adjustRightInd w:val="0"/>
      <w:spacing w:after="40" w:line="160" w:lineRule="exact"/>
      <w:ind w:left="1" w:hanging="1"/>
      <w:jc w:val="both"/>
    </w:pPr>
    <w:rPr>
      <w:rFonts w:ascii="Arial" w:hAnsi="Arial" w:cs="Arial"/>
      <w:color w:val="000000"/>
      <w:sz w:val="15"/>
      <w:szCs w:val="24"/>
    </w:rPr>
  </w:style>
  <w:style w:type="paragraph" w:customStyle="1" w:styleId="V-NormaltextZentriert">
    <w:name w:val="V-NormaltextZentriert"/>
    <w:uiPriority w:val="99"/>
    <w:pPr>
      <w:widowControl w:val="0"/>
      <w:autoSpaceDE w:val="0"/>
      <w:autoSpaceDN w:val="0"/>
      <w:adjustRightInd w:val="0"/>
      <w:spacing w:after="80" w:line="160" w:lineRule="exact"/>
      <w:ind w:left="1" w:hanging="1"/>
      <w:jc w:val="center"/>
    </w:pPr>
    <w:rPr>
      <w:rFonts w:ascii="Arial" w:hAnsi="Arial" w:cs="Calibri"/>
      <w:color w:val="000000"/>
      <w:sz w:val="15"/>
      <w:szCs w:val="24"/>
    </w:rPr>
  </w:style>
  <w:style w:type="paragraph" w:customStyle="1" w:styleId="V-Nummer">
    <w:name w:val="V-Nummer"/>
    <w:uiPriority w:val="99"/>
    <w:pPr>
      <w:widowControl w:val="0"/>
      <w:autoSpaceDE w:val="0"/>
      <w:autoSpaceDN w:val="0"/>
      <w:adjustRightInd w:val="0"/>
      <w:ind w:left="1" w:hanging="1"/>
    </w:pPr>
    <w:rPr>
      <w:rFonts w:ascii="Arial" w:hAnsi="Arial" w:cs="Arial"/>
      <w:color w:val="000000"/>
      <w:sz w:val="15"/>
      <w:szCs w:val="24"/>
    </w:rPr>
  </w:style>
  <w:style w:type="paragraph" w:customStyle="1" w:styleId="V-NummerPfeil">
    <w:name w:val="V-Nummer+Pfeil"/>
    <w:uiPriority w:val="99"/>
    <w:pPr>
      <w:widowControl w:val="0"/>
      <w:autoSpaceDE w:val="0"/>
      <w:autoSpaceDN w:val="0"/>
      <w:adjustRightInd w:val="0"/>
      <w:ind w:left="1" w:hanging="1"/>
    </w:pPr>
    <w:rPr>
      <w:rFonts w:ascii="Monotype Sorts" w:hAnsi="Monotype Sorts" w:cs="Calibri"/>
      <w:color w:val="000000"/>
      <w:sz w:val="18"/>
      <w:szCs w:val="24"/>
    </w:rPr>
  </w:style>
  <w:style w:type="paragraph" w:customStyle="1" w:styleId="V-Nummer2">
    <w:name w:val="V-Nummer2"/>
    <w:uiPriority w:val="99"/>
    <w:pPr>
      <w:widowControl w:val="0"/>
      <w:tabs>
        <w:tab w:val="left" w:pos="283"/>
      </w:tabs>
      <w:autoSpaceDE w:val="0"/>
      <w:autoSpaceDN w:val="0"/>
      <w:adjustRightInd w:val="0"/>
      <w:ind w:left="284" w:hanging="1"/>
      <w:jc w:val="both"/>
    </w:pPr>
    <w:rPr>
      <w:rFonts w:ascii="Arial" w:hAnsi="Arial" w:cs="Arial"/>
      <w:color w:val="000000"/>
      <w:sz w:val="15"/>
      <w:szCs w:val="24"/>
    </w:rPr>
  </w:style>
  <w:style w:type="paragraph" w:customStyle="1" w:styleId="V-NummerListeHaupttext1">
    <w:name w:val="V-NummerListeHaupttext1"/>
    <w:uiPriority w:val="99"/>
    <w:pPr>
      <w:widowControl w:val="0"/>
      <w:autoSpaceDE w:val="0"/>
      <w:autoSpaceDN w:val="0"/>
      <w:adjustRightInd w:val="0"/>
      <w:ind w:left="426" w:hanging="1"/>
      <w:jc w:val="both"/>
    </w:pPr>
    <w:rPr>
      <w:rFonts w:ascii="Arial" w:hAnsi="Arial" w:cs="Calibri"/>
      <w:color w:val="000000"/>
      <w:sz w:val="15"/>
      <w:szCs w:val="24"/>
    </w:rPr>
  </w:style>
  <w:style w:type="paragraph" w:customStyle="1" w:styleId="V-NummerListeHaupttext2">
    <w:name w:val="V-NummerListeHaupttext2"/>
    <w:uiPriority w:val="99"/>
    <w:pPr>
      <w:widowControl w:val="0"/>
      <w:tabs>
        <w:tab w:val="left" w:pos="283"/>
      </w:tabs>
      <w:autoSpaceDE w:val="0"/>
      <w:autoSpaceDN w:val="0"/>
      <w:adjustRightInd w:val="0"/>
      <w:ind w:left="681" w:hanging="1"/>
    </w:pPr>
    <w:rPr>
      <w:rFonts w:ascii="Arial" w:hAnsi="Arial" w:cs="Arial"/>
      <w:color w:val="000000"/>
      <w:sz w:val="15"/>
      <w:szCs w:val="24"/>
    </w:rPr>
  </w:style>
  <w:style w:type="paragraph" w:customStyle="1" w:styleId="V-RechtsbfcndigText">
    <w:name w:val="V-RechtsbüfcndigText"/>
    <w:uiPriority w:val="99"/>
    <w:pPr>
      <w:widowControl w:val="0"/>
      <w:autoSpaceDE w:val="0"/>
      <w:autoSpaceDN w:val="0"/>
      <w:adjustRightInd w:val="0"/>
      <w:spacing w:after="40" w:line="160" w:lineRule="exact"/>
      <w:ind w:left="1" w:hanging="1"/>
      <w:jc w:val="right"/>
    </w:pPr>
    <w:rPr>
      <w:rFonts w:ascii="Arial" w:hAnsi="Arial" w:cs="Calibri"/>
      <w:color w:val="000000"/>
      <w:sz w:val="15"/>
      <w:szCs w:val="24"/>
    </w:rPr>
  </w:style>
  <w:style w:type="paragraph" w:customStyle="1" w:styleId="V-Zwischenfcberschrift01">
    <w:name w:val="V-Zwischenüfcberschrift01"/>
    <w:uiPriority w:val="99"/>
    <w:pPr>
      <w:widowControl w:val="0"/>
      <w:autoSpaceDE w:val="0"/>
      <w:autoSpaceDN w:val="0"/>
      <w:adjustRightInd w:val="0"/>
      <w:spacing w:line="160" w:lineRule="exact"/>
      <w:ind w:left="1" w:hanging="1"/>
      <w:jc w:val="center"/>
    </w:pPr>
    <w:rPr>
      <w:rFonts w:ascii="Arial" w:hAnsi="Arial" w:cs="Arial"/>
      <w:b/>
      <w:color w:val="000000"/>
      <w:sz w:val="15"/>
      <w:szCs w:val="24"/>
    </w:rPr>
  </w:style>
  <w:style w:type="paragraph" w:customStyle="1" w:styleId="V-Zwischenfcberschrift02">
    <w:name w:val="V-Zwischenüfcberschrift02"/>
    <w:uiPriority w:val="99"/>
    <w:pPr>
      <w:widowControl w:val="0"/>
      <w:autoSpaceDE w:val="0"/>
      <w:autoSpaceDN w:val="0"/>
      <w:adjustRightInd w:val="0"/>
      <w:spacing w:line="160" w:lineRule="exact"/>
      <w:ind w:left="1" w:hanging="1"/>
      <w:jc w:val="center"/>
    </w:pPr>
    <w:rPr>
      <w:rFonts w:ascii="Arial" w:hAnsi="Arial" w:cs="Calibri"/>
      <w:color w:val="000000"/>
      <w:spacing w:val="24"/>
      <w:sz w:val="16"/>
      <w:szCs w:val="24"/>
    </w:rPr>
  </w:style>
  <w:style w:type="paragraph" w:styleId="Funotentext">
    <w:name w:val="footnote text"/>
    <w:basedOn w:val="Standard"/>
    <w:link w:val="FunotentextZchn"/>
    <w:uiPriority w:val="99"/>
    <w:rPr>
      <w:sz w:val="20"/>
    </w:rPr>
  </w:style>
  <w:style w:type="table" w:styleId="TabelleEinfach1">
    <w:name w:val="Table Simple 1"/>
    <w:basedOn w:val="NormaleTabelle"/>
    <w:uiPriority w:val="99"/>
    <w:pPr>
      <w:widowControl w:val="0"/>
      <w:autoSpaceDE w:val="0"/>
      <w:autoSpaceDN w:val="0"/>
      <w:adjustRightInd w:val="0"/>
    </w:pPr>
    <w:rPr>
      <w:rFonts w:cs="Calibri"/>
      <w:sz w:val="22"/>
      <w:szCs w:val="24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left w:w="0" w:type="dxa"/>
        <w:right w:w="0" w:type="dxa"/>
      </w:tblCellMar>
    </w:tblPr>
  </w:style>
  <w:style w:type="character" w:styleId="Zeilennummer">
    <w:name w:val="line number"/>
    <w:basedOn w:val="Absatz-Standardschriftart"/>
    <w:uiPriority w:val="99"/>
    <w:rPr>
      <w:rFonts w:asciiTheme="minorHAnsi" w:hAnsiTheme="minorHAnsi" w:cs="Times New Roman"/>
      <w:sz w:val="22"/>
    </w:rPr>
  </w:style>
  <w:style w:type="character" w:styleId="Hyperlink">
    <w:name w:val="Hyperlink"/>
    <w:basedOn w:val="Absatz-Standardschriftart"/>
    <w:uiPriority w:val="99"/>
    <w:rPr>
      <w:rFonts w:asciiTheme="minorHAnsi" w:hAnsiTheme="minorHAnsi"/>
      <w:color w:val="0000FF"/>
      <w:sz w:val="22"/>
      <w:u w:val="single"/>
    </w:rPr>
  </w:style>
  <w:style w:type="character" w:customStyle="1" w:styleId="FootnoteCharacters">
    <w:name w:val="Footnote Characters"/>
    <w:uiPriority w:val="99"/>
    <w:qFormat/>
    <w:rPr>
      <w:rFonts w:asciiTheme="minorHAnsi" w:hAnsiTheme="minorHAnsi" w:cs="Times New Roman"/>
      <w:sz w:val="22"/>
    </w:rPr>
  </w:style>
  <w:style w:type="character" w:customStyle="1" w:styleId="FootnoteAnchor">
    <w:name w:val="Footnote Anchor"/>
    <w:uiPriority w:val="99"/>
    <w:rPr>
      <w:rFonts w:asciiTheme="minorHAnsi" w:hAnsiTheme="minorHAnsi"/>
      <w:sz w:val="22"/>
      <w:vertAlign w:val="superscript"/>
    </w:rPr>
  </w:style>
  <w:style w:type="character" w:customStyle="1" w:styleId="EndnoteCharacters">
    <w:name w:val="Endnote Characters"/>
    <w:uiPriority w:val="99"/>
    <w:qFormat/>
    <w:rPr>
      <w:rFonts w:asciiTheme="minorHAnsi" w:hAnsiTheme="minorHAnsi" w:cs="Times New Roman"/>
      <w:sz w:val="22"/>
    </w:rPr>
  </w:style>
  <w:style w:type="character" w:customStyle="1" w:styleId="EndnoteAnchor">
    <w:name w:val="Endnote Anchor"/>
    <w:uiPriority w:val="99"/>
    <w:rPr>
      <w:rFonts w:asciiTheme="minorHAnsi" w:hAnsiTheme="minorHAnsi"/>
      <w:sz w:val="22"/>
      <w:vertAlign w:val="superscript"/>
    </w:rPr>
  </w:style>
  <w:style w:type="character" w:customStyle="1" w:styleId="Betonung">
    <w:name w:val="Betonung"/>
    <w:uiPriority w:val="99"/>
    <w:rPr>
      <w:rFonts w:asciiTheme="minorHAnsi" w:hAnsiTheme="minorHAnsi" w:cs="Times New Roman"/>
      <w:i/>
      <w:sz w:val="22"/>
    </w:rPr>
  </w:style>
  <w:style w:type="character" w:customStyle="1" w:styleId="GlgVar">
    <w:name w:val="GlgVar"/>
    <w:uiPriority w:val="99"/>
    <w:rPr>
      <w:rFonts w:asciiTheme="minorHAnsi" w:hAnsiTheme="minorHAnsi"/>
      <w:i/>
      <w:sz w:val="22"/>
    </w:rPr>
  </w:style>
  <w:style w:type="character" w:customStyle="1" w:styleId="Unterstrichen">
    <w:name w:val="Unterstrichen"/>
    <w:uiPriority w:val="99"/>
    <w:rPr>
      <w:rFonts w:ascii="Arial" w:hAnsi="Arial" w:cs="Arial"/>
      <w:color w:val="000000"/>
      <w:sz w:val="15"/>
      <w:u w:val="single"/>
    </w:rPr>
  </w:style>
  <w:style w:type="character" w:customStyle="1" w:styleId="FootnoteReference">
    <w:name w:val="FootnoteReference"/>
    <w:uiPriority w:val="99"/>
    <w:rPr>
      <w:rFonts w:asciiTheme="minorHAnsi" w:hAnsiTheme="minorHAnsi"/>
      <w:sz w:val="17"/>
      <w:vertAlign w:val="superscript"/>
    </w:rPr>
  </w:style>
  <w:style w:type="character" w:styleId="Funotenzeichen">
    <w:name w:val="footnote reference"/>
    <w:basedOn w:val="Absatz-Standardschriftart"/>
    <w:uiPriority w:val="99"/>
    <w:rPr>
      <w:rFonts w:asciiTheme="minorHAnsi" w:hAnsiTheme="minorHAnsi" w:cs="Times New Roman"/>
      <w:sz w:val="22"/>
      <w:vertAlign w:val="superscript"/>
    </w:rPr>
  </w:style>
  <w:style w:type="character" w:customStyle="1" w:styleId="FunotentextZchn">
    <w:name w:val="Fußnotentext Zchn"/>
    <w:link w:val="Funotentext"/>
    <w:uiPriority w:val="99"/>
    <w:rPr>
      <w:rFonts w:asciiTheme="minorHAnsi" w:hAnsiTheme="minorHAnsi"/>
      <w:sz w:val="20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3" Type="http://schemas.openxmlformats.org/officeDocument/2006/relationships/settings" Target="settings.xml"/><Relationship Id="rId7" Type="http://schemas.openxmlformats.org/officeDocument/2006/relationships/hyperlink" Target="http://www.standardsicherung.nrw.de" TargetMode="Externa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10" Type="http://schemas.openxmlformats.org/officeDocument/2006/relationships/theme" Target="theme/theme1.xml"/><Relationship Id="rId4" Type="http://schemas.openxmlformats.org/officeDocument/2006/relationships/webSettings" Target="web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Ｐ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Tahoma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Ｐゴシック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Tahoma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  <a:tileRect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  <a:tileRect/>
        </a:gradFill>
      </a:fillStyleLst>
      <a:lnStyleLst>
        <a:ln w="9525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mpd="sng" algn="ctr">
          <a:solidFill>
            <a:schemeClr val="phClr"/>
          </a:solidFill>
          <a:prstDash val="solid"/>
        </a:ln>
        <a:ln w="38100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  <a:tileRect/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  <a:tileRect/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551</Words>
  <Characters>3478</Characters>
  <Application>Microsoft Office Word</Application>
  <DocSecurity>0</DocSecurity>
  <Lines>28</Lines>
  <Paragraphs>8</Paragraphs>
  <ScaleCrop>false</ScaleCrop>
  <Company/>
  <LinksUpToDate>false</LinksUpToDate>
  <CharactersWithSpaces>4021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/>
  <cp:keywords/>
  <dc:description/>
  <cp:lastModifiedBy>Peter Quaglia</cp:lastModifiedBy>
  <cp:revision>2</cp:revision>
  <dcterms:created xsi:type="dcterms:W3CDTF">2024-09-10T02:17:00Z</dcterms:created>
  <dcterms:modified xsi:type="dcterms:W3CDTF">2024-09-10T02:17:00Z</dcterms:modified>
</cp:coreProperties>
</file>