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3853" w14:textId="77777777" w:rsidR="008E135E" w:rsidRDefault="008E135E">
      <w:pPr>
        <w:pStyle w:val="Bass-Nr"/>
        <w:keepNext/>
      </w:pPr>
      <w:bookmarkStart w:id="0" w:name="20-22nr64"/>
      <w:bookmarkEnd w:id="0"/>
      <w:r>
        <w:rPr>
          <w:rFonts w:cs="Calibri"/>
        </w:rPr>
        <w:t>20-22 Nr. 64</w:t>
      </w:r>
    </w:p>
    <w:p w14:paraId="3B68A703" w14:textId="77777777" w:rsidR="008E135E" w:rsidRDefault="008E135E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rPr>
          <w:rFonts w:cs="Arial"/>
        </w:rPr>
        <w:br/>
      </w:r>
      <w:r>
        <w:t>Wiederaufnahme des Schuldienstes</w:t>
      </w:r>
    </w:p>
    <w:p w14:paraId="38DBF648" w14:textId="77777777" w:rsidR="008E135E" w:rsidRDefault="008E135E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01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2011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142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6983F9FA" w14:textId="77777777" w:rsidR="008E135E" w:rsidRDefault="008E135E">
      <w:pPr>
        <w:pStyle w:val="RVfliesstext175fb"/>
        <w:widowControl/>
      </w:pPr>
      <w:r>
        <w:rPr>
          <w:rFonts w:cs="Arial"/>
        </w:rPr>
        <w:t>Bezug:</w:t>
      </w:r>
    </w:p>
    <w:p w14:paraId="0719D326" w14:textId="77777777" w:rsidR="008E135E" w:rsidRDefault="008E135E">
      <w:pPr>
        <w:pStyle w:val="RVfliesstext175nb"/>
        <w:widowControl/>
      </w:pPr>
      <w:r>
        <w:t>RdErl. d. Ministeriums f</w:t>
      </w:r>
      <w:r>
        <w:t>ü</w:t>
      </w:r>
      <w:r>
        <w:t xml:space="preserve">r Schule und Weiterbildung </w:t>
      </w:r>
      <w:r>
        <w:rPr>
          <w:rFonts w:cs="Calibri"/>
        </w:rPr>
        <w:br/>
      </w:r>
      <w:r>
        <w:t>v. 06.04.2014 (</w:t>
      </w:r>
      <w:hyperlink w:anchor="https://bass.schul-welt.de/14149.htm#20-22nr8" w:history="1">
        <w:r>
          <w:t>BASS 20-22 Nr. 8</w:t>
        </w:r>
      </w:hyperlink>
      <w:r>
        <w:rPr>
          <w:rFonts w:cs="Calibri"/>
        </w:rPr>
        <w:t>)</w:t>
      </w:r>
    </w:p>
    <w:p w14:paraId="04C61ECB" w14:textId="77777777" w:rsidR="008E135E" w:rsidRDefault="008E135E">
      <w:pPr>
        <w:pStyle w:val="RVfliesstext175nb"/>
        <w:widowControl/>
        <w:rPr>
          <w:rFonts w:cs="Calibri"/>
        </w:rPr>
      </w:pPr>
      <w:r>
        <w:rPr>
          <w:rFonts w:cs="Calibri"/>
        </w:rPr>
        <w:t>1 Lehrerinnen und Lehrer, die nach einer mindestens einj</w:t>
      </w:r>
      <w:r>
        <w:rPr>
          <w:rFonts w:cs="Calibri"/>
        </w:rPr>
        <w:t>ä</w:t>
      </w:r>
      <w:r>
        <w:rPr>
          <w:rFonts w:cs="Calibri"/>
        </w:rPr>
        <w:t>hrigen Unter</w:t>
      </w:r>
      <w:hyperlink r:id="rId7" w:history="1">
        <w:r>
          <w:rPr>
            <w:rFonts w:cs="Calibri"/>
          </w:rPr>
          <w:t>brechung im Anschluss an eine Beurlaubung (§§ 70, 71, 76 LBG</w:t>
        </w:r>
      </w:hyperlink>
      <w:r>
        <w:t>), nach l</w:t>
      </w:r>
      <w:r>
        <w:t>ä</w:t>
      </w:r>
      <w:r>
        <w:t>ngerer Erkrankung oder nach Wiederherstellung der Dienstf</w:t>
      </w:r>
      <w:r>
        <w:t>ä</w:t>
      </w:r>
      <w:r>
        <w:t>higkeit nach einer Zurruhesetzung den Schuldienst wieder aufnehmen, sollen durch ein Fortbildungsangebot die M</w:t>
      </w:r>
      <w:r>
        <w:t>ö</w:t>
      </w:r>
      <w:r>
        <w:t xml:space="preserve">glichkeit bekommen, sich </w:t>
      </w:r>
      <w:r>
        <w:t>ü</w:t>
      </w:r>
      <w:r>
        <w:t xml:space="preserve">ber die aktuellen Entwicklungen in ihrem Berufsfeld </w:t>
      </w:r>
      <w:r>
        <w:t>„</w:t>
      </w:r>
      <w:r>
        <w:t>Schule und Unterricht</w:t>
      </w:r>
      <w:r>
        <w:t>“</w:t>
      </w:r>
      <w:r>
        <w:t xml:space="preserve"> zu informieren, und Hilfestellungen erhalten, die Anforderungen der Arbeitssituation besser zu bew</w:t>
      </w:r>
      <w:r>
        <w:t>ä</w:t>
      </w:r>
      <w:r>
        <w:t>ltigen.</w:t>
      </w:r>
    </w:p>
    <w:p w14:paraId="3F97F7E3" w14:textId="77777777" w:rsidR="008E135E" w:rsidRDefault="008E135E">
      <w:pPr>
        <w:pStyle w:val="RVfliesstext175nb"/>
        <w:widowControl/>
        <w:rPr>
          <w:rFonts w:cs="Calibri"/>
        </w:rPr>
      </w:pPr>
      <w:r>
        <w:t>2 Das Fortbildungsangebot umfasst folgende Fortbildungsmodule:</w:t>
      </w:r>
    </w:p>
    <w:p w14:paraId="440D8466" w14:textId="77777777" w:rsidR="008E135E" w:rsidRDefault="008E135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Aspekte professionellen Lehrerhandelns zum Wiedereinstieg</w:t>
      </w:r>
    </w:p>
    <w:p w14:paraId="559D1B17" w14:textId="77777777" w:rsidR="008E135E" w:rsidRDefault="008E135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Kompetenzorientierte Unterrichtsentwicklung</w:t>
      </w:r>
    </w:p>
    <w:p w14:paraId="072519A0" w14:textId="77777777" w:rsidR="008E135E" w:rsidRDefault="008E135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Individuelle 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3554C18D" w14:textId="77777777" w:rsidR="008E135E" w:rsidRDefault="008E135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Begleitung selbstgesteuerter Lernprozesse</w:t>
      </w:r>
    </w:p>
    <w:p w14:paraId="0F92216E" w14:textId="77777777" w:rsidR="008E135E" w:rsidRDefault="008E135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Lernen mit neuen Medien</w:t>
      </w:r>
    </w:p>
    <w:p w14:paraId="74193F51" w14:textId="77777777" w:rsidR="008E135E" w:rsidRDefault="008E135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Stress- und Zeitmanagement</w:t>
      </w:r>
    </w:p>
    <w:p w14:paraId="079EF5C6" w14:textId="77777777" w:rsidR="008E135E" w:rsidRDefault="008E135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Gespr</w:t>
      </w:r>
      <w:r>
        <w:rPr>
          <w:rFonts w:cs="Calibri"/>
        </w:rPr>
        <w:t>ä</w:t>
      </w:r>
      <w:r>
        <w:rPr>
          <w:rFonts w:cs="Calibri"/>
        </w:rPr>
        <w:t>chsf</w:t>
      </w:r>
      <w:r>
        <w:rPr>
          <w:rFonts w:cs="Calibri"/>
        </w:rPr>
        <w:t>ü</w:t>
      </w:r>
      <w:r>
        <w:rPr>
          <w:rFonts w:cs="Calibri"/>
        </w:rPr>
        <w:t>hrung</w:t>
      </w:r>
    </w:p>
    <w:p w14:paraId="78475D68" w14:textId="77777777" w:rsidR="008E135E" w:rsidRDefault="008E135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Karriereplanung</w:t>
      </w:r>
    </w:p>
    <w:p w14:paraId="64D74CA0" w14:textId="77777777" w:rsidR="008E135E" w:rsidRDefault="008E135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Klassenmanagement</w:t>
      </w:r>
    </w:p>
    <w:p w14:paraId="32A37B0E" w14:textId="77777777" w:rsidR="008E135E" w:rsidRDefault="008E135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Dienst- und Schulrecht.</w:t>
      </w:r>
    </w:p>
    <w:p w14:paraId="44B49543" w14:textId="77777777" w:rsidR="008E135E" w:rsidRDefault="008E135E">
      <w:pPr>
        <w:pStyle w:val="RVfliesstext175nb"/>
        <w:widowControl/>
        <w:rPr>
          <w:rFonts w:cs="Calibri"/>
        </w:rPr>
      </w:pPr>
      <w:r>
        <w:t>Die Veranstaltungen beinhalten theoretische Bausteine und praktische Trainingseinheiten unter besonderer Ber</w:t>
      </w:r>
      <w:r>
        <w:t>ü</w:t>
      </w:r>
      <w:r>
        <w:t>cksichtigung geschlechterbezogener Aspekte. Lehrerinnen und Lehrer k</w:t>
      </w:r>
      <w:r>
        <w:t>ö</w:t>
      </w:r>
      <w:r>
        <w:t>nnen entsprechend ihrem Qualifizierungsbedarf Module aus diesem Fortbildungsangebot ausw</w:t>
      </w:r>
      <w:r>
        <w:t>ä</w:t>
      </w:r>
      <w:r>
        <w:t>hlen.</w:t>
      </w:r>
    </w:p>
    <w:p w14:paraId="5ECF08A0" w14:textId="77777777" w:rsidR="008E135E" w:rsidRDefault="008E135E">
      <w:pPr>
        <w:pStyle w:val="RVfliesstext175nb"/>
        <w:widowControl/>
        <w:rPr>
          <w:rFonts w:cs="Calibri"/>
        </w:rPr>
      </w:pPr>
      <w:r>
        <w:t xml:space="preserve">Das Fortbildungsmodul </w:t>
      </w:r>
      <w:r>
        <w:t>„</w:t>
      </w:r>
      <w:r>
        <w:t>Aspekte professionellen Lehrerhandelns zum Wiedereinstieg</w:t>
      </w:r>
      <w:r>
        <w:t>“</w:t>
      </w:r>
      <w:r>
        <w:t xml:space="preserve"> wird als zweit</w:t>
      </w:r>
      <w:r>
        <w:t>ä</w:t>
      </w:r>
      <w:r>
        <w:t>gige Veranstaltung durchgef</w:t>
      </w:r>
      <w:r>
        <w:t>ü</w:t>
      </w:r>
      <w:r>
        <w:t>hrt. Es bietet Informationen zu verschiedenen Aspekten professionellen Lehrerhandelns und bereitet auf die konkrete Wiedereinstiegssituation vor. Die anderen Fortbildungsmodule sind als eint</w:t>
      </w:r>
      <w:r>
        <w:t>ä</w:t>
      </w:r>
      <w:r>
        <w:t>gige Veranstaltungen konzipiert.</w:t>
      </w:r>
    </w:p>
    <w:p w14:paraId="478AC16F" w14:textId="77777777" w:rsidR="008E135E" w:rsidRDefault="008E135E">
      <w:pPr>
        <w:pStyle w:val="RVfliesstext175nb"/>
        <w:widowControl/>
        <w:rPr>
          <w:rFonts w:cs="Calibri"/>
        </w:rPr>
      </w:pPr>
      <w:r>
        <w:t>Die Fortbildungsmodule werden von den Lehrkr</w:t>
      </w:r>
      <w:r>
        <w:t>ä</w:t>
      </w:r>
      <w:r>
        <w:t>ften, die im Anschluss an eine Beurlaubung den Dienst wieder aufnehmen, grunds</w:t>
      </w:r>
      <w:r>
        <w:t>ä</w:t>
      </w:r>
      <w:r>
        <w:t>tzlich vor dem geplanten Wiedereinstieg belegt. Nach langandauernder Erkrankung oder nach Wiederherstellung der Dienstf</w:t>
      </w:r>
      <w:r>
        <w:t>ä</w:t>
      </w:r>
      <w:r>
        <w:t>higkeit nach einer Zurruhesetzung k</w:t>
      </w:r>
      <w:r>
        <w:t>ö</w:t>
      </w:r>
      <w:r>
        <w:t>nnen Lehrkr</w:t>
      </w:r>
      <w:r>
        <w:t>ä</w:t>
      </w:r>
      <w:r>
        <w:t>fte im ersten Jahr nach Aufnahme des Schuldienstes Fortbildungsmodule belegen.</w:t>
      </w:r>
    </w:p>
    <w:p w14:paraId="312B9AF6" w14:textId="77777777" w:rsidR="008E135E" w:rsidRDefault="008E135E">
      <w:pPr>
        <w:pStyle w:val="RVfliesstext175nb"/>
        <w:widowControl/>
        <w:rPr>
          <w:rFonts w:cs="Calibri"/>
        </w:rPr>
      </w:pPr>
      <w:r>
        <w:t>Die Beurlaubung wird durch die Teilnahme an der Einf</w:t>
      </w:r>
      <w:r>
        <w:t>ü</w:t>
      </w:r>
      <w:r>
        <w:t>hrung nicht unterbrochen. Reisekosten werden nach den geltenden Bestimmungen erstattet. Kinderbetreuungskosten sind gem</w:t>
      </w:r>
      <w:r>
        <w:t>äß</w:t>
      </w:r>
      <w:r>
        <w:t xml:space="preserve"> </w:t>
      </w:r>
      <w:r>
        <w:t>§</w:t>
      </w:r>
      <w:r>
        <w:t xml:space="preserve"> 11 Absatz 3 </w:t>
      </w:r>
      <w:hyperlink r:id="rId8" w:history="1">
        <w:r>
          <w:t>Landesgleichstel</w:t>
        </w:r>
      </w:hyperlink>
      <w:r>
        <w:rPr>
          <w:rFonts w:cs="Calibri"/>
        </w:rPr>
        <w:t>lungsgesetz</w:t>
      </w:r>
      <w:r>
        <w:t xml:space="preserve"> zu erstatten. Die Teilnahme unterliegt den unfallschutzrechtlichen Vorschriften.</w:t>
      </w:r>
    </w:p>
    <w:p w14:paraId="70E4AED3" w14:textId="77777777" w:rsidR="008E135E" w:rsidRDefault="008E135E">
      <w:pPr>
        <w:pStyle w:val="RVfliesstext175nb"/>
        <w:widowControl/>
      </w:pPr>
      <w:r>
        <w:t>Die Bezirksregierungen informieren beurlaubte Lehrkr</w:t>
      </w:r>
      <w:r>
        <w:t>ä</w:t>
      </w:r>
      <w:r>
        <w:t xml:space="preserve">fte </w:t>
      </w:r>
      <w:r>
        <w:t>ü</w:t>
      </w:r>
      <w:r>
        <w:t xml:space="preserve">ber das Fortbildungsprogramm </w:t>
      </w:r>
      <w:r>
        <w:t>„</w:t>
      </w:r>
      <w:r>
        <w:t>Wiederaufnahme des Schuldienstes</w:t>
      </w:r>
      <w:r>
        <w:t>“</w:t>
      </w:r>
      <w:r>
        <w:t xml:space="preserve">. </w:t>
      </w:r>
      <w:r>
        <w:t>§</w:t>
      </w:r>
      <w:r>
        <w:t xml:space="preserve"> 11 Absatz 1 </w:t>
      </w:r>
      <w:hyperlink r:id="rId9" w:history="1">
        <w:r>
          <w:t>Landesgleichstellungsgesetz</w:t>
        </w:r>
      </w:hyperlink>
      <w:r>
        <w:rPr>
          <w:rFonts w:cs="Calibri"/>
        </w:rPr>
        <w:t xml:space="preserve">, </w:t>
      </w:r>
      <w:r>
        <w:rPr>
          <w:rFonts w:cs="Calibri"/>
        </w:rPr>
        <w:t>§§</w:t>
      </w:r>
      <w:r>
        <w:rPr>
          <w:rFonts w:cs="Calibri"/>
        </w:rPr>
        <w:t xml:space="preserve"> 81 Absatz 4 Nummer 2 und 95 Absatz 2 </w:t>
      </w:r>
      <w:hyperlink r:id="rId10" w:history="1">
        <w:r>
          <w:rPr>
            <w:rFonts w:cs="Calibri"/>
          </w:rPr>
          <w:t>Sozialgesetzbuch IX</w:t>
        </w:r>
      </w:hyperlink>
      <w:r>
        <w:t xml:space="preserve">, </w:t>
      </w:r>
      <w:r>
        <w:t>§</w:t>
      </w:r>
      <w:r>
        <w:t xml:space="preserve"> 72 Absatz 4 Nummer 16 </w:t>
      </w:r>
      <w:r>
        <w:rPr>
          <w:rFonts w:cs="Calibri"/>
        </w:rPr>
        <w:t>Landespersonalvertre</w:t>
      </w:r>
      <w:hyperlink r:id="rId11" w:history="1">
        <w:r>
          <w:rPr>
            <w:rFonts w:cs="Calibri"/>
          </w:rPr>
          <w:t>tungsgesetz</w:t>
        </w:r>
      </w:hyperlink>
      <w:r>
        <w:t xml:space="preserve"> und </w:t>
      </w:r>
      <w:r>
        <w:t>§</w:t>
      </w:r>
      <w:r>
        <w:t xml:space="preserve"> 4 </w:t>
      </w:r>
      <w:hyperlink r:id="rId12" w:history="1">
        <w:r>
          <w:t>Behindertengleichstellungsgesetz</w:t>
        </w:r>
      </w:hyperlink>
      <w:r>
        <w:rPr>
          <w:rFonts w:cs="Calibri"/>
        </w:rPr>
        <w:t xml:space="preserve"> sind zu beachten.</w:t>
      </w:r>
    </w:p>
    <w:p w14:paraId="1013BE3B" w14:textId="77777777" w:rsidR="008E135E" w:rsidRDefault="008E135E">
      <w:pPr>
        <w:pStyle w:val="RVfliesstext175nb"/>
        <w:widowControl/>
        <w:rPr>
          <w:rFonts w:cs="Calibri"/>
        </w:rPr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55F9" w14:textId="77777777" w:rsidR="008E135E" w:rsidRDefault="008E135E">
      <w:pPr>
        <w:widowControl/>
        <w:rPr>
          <w:rFonts w:cs="Calibri"/>
        </w:rPr>
      </w:pPr>
      <w:r>
        <w:separator/>
      </w:r>
    </w:p>
  </w:endnote>
  <w:endnote w:type="continuationSeparator" w:id="0">
    <w:p w14:paraId="46FE6A06" w14:textId="77777777" w:rsidR="008E135E" w:rsidRDefault="008E135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1DA7" w14:textId="77777777" w:rsidR="008E135E" w:rsidRDefault="008E135E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50B7" w14:textId="77777777" w:rsidR="008E135E" w:rsidRDefault="008E135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D977141" w14:textId="77777777" w:rsidR="008E135E" w:rsidRDefault="008E135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A8A3C44" w14:textId="77777777" w:rsidR="008E135E" w:rsidRDefault="008E135E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1E81"/>
    <w:rsid w:val="00111E81"/>
    <w:rsid w:val="008E135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0699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2200711211004362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220120203171562132" TargetMode="External"/><Relationship Id="rId12" Type="http://schemas.openxmlformats.org/officeDocument/2006/relationships/hyperlink" Target="https://recht.nrw.de/lmi/owa/br_text_anzeigen?v_id=5420140509100636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7200310091014368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setze-im-internet.de/sgb_9_2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20071121100436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2024-09-10T02:14:00Z</dcterms:created>
  <dcterms:modified xsi:type="dcterms:W3CDTF">2024-09-10T02:14:00Z</dcterms:modified>
</cp:coreProperties>
</file>