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9B1B5" w14:textId="77777777" w:rsidR="00B13F97" w:rsidRDefault="00B13F97">
      <w:pPr>
        <w:pStyle w:val="Bass-Nr"/>
        <w:keepNext/>
      </w:pPr>
      <w:r>
        <w:rPr>
          <w:rFonts w:cs="Calibri"/>
        </w:rPr>
        <w:t>10-32 Nr. 47</w:t>
      </w:r>
    </w:p>
    <w:p w14:paraId="00234CD1" w14:textId="77777777" w:rsidR="00B13F97" w:rsidRDefault="00B13F97">
      <w:pPr>
        <w:pStyle w:val="RVueberschrift1100fz"/>
        <w:keepNext/>
        <w:keepLines/>
      </w:pPr>
      <w:bookmarkStart w:id="0" w:name="10-32nr47"/>
      <w:bookmarkEnd w:id="0"/>
      <w:r>
        <w:t xml:space="preserve">Verordnung </w:t>
      </w:r>
      <w:r>
        <w:rPr>
          <w:rFonts w:cs="Arial"/>
        </w:rPr>
        <w:br/>
        <w:t xml:space="preserve"> </w:t>
      </w:r>
      <w:r>
        <w:rPr>
          <w:rFonts w:cs="Arial"/>
        </w:rPr>
        <w:t>ü</w:t>
      </w:r>
      <w:r>
        <w:rPr>
          <w:rFonts w:cs="Arial"/>
        </w:rPr>
        <w:t>ber besondere Zust</w:t>
      </w:r>
      <w:r>
        <w:rPr>
          <w:rFonts w:cs="Arial"/>
        </w:rPr>
        <w:t>ä</w:t>
      </w:r>
      <w:r>
        <w:rPr>
          <w:rFonts w:cs="Arial"/>
        </w:rPr>
        <w:t xml:space="preserve">ndigkeiten </w:t>
      </w:r>
      <w:r>
        <w:rPr>
          <w:rFonts w:cs="Arial"/>
        </w:rPr>
        <w:br/>
        <w:t xml:space="preserve">in der Schulaufsicht </w:t>
      </w:r>
      <w:r>
        <w:rPr>
          <w:rFonts w:cs="Arial"/>
        </w:rPr>
        <w:br/>
        <w:t>(Zust</w:t>
      </w:r>
      <w:r>
        <w:rPr>
          <w:rFonts w:cs="Arial"/>
        </w:rPr>
        <w:t>ä</w:t>
      </w:r>
      <w:r>
        <w:rPr>
          <w:rFonts w:cs="Arial"/>
        </w:rPr>
        <w:t xml:space="preserve">ndigkeitsverordnung Schulaufsicht - </w:t>
      </w:r>
      <w:r>
        <w:rPr>
          <w:rFonts w:cs="Arial"/>
        </w:rPr>
        <w:br/>
        <w:t>ZustVOSchAuf)</w:t>
      </w:r>
    </w:p>
    <w:p w14:paraId="65469C28" w14:textId="77777777" w:rsidR="00B13F97" w:rsidRDefault="00B13F97">
      <w:pPr>
        <w:pStyle w:val="RVueberschrift285nz"/>
        <w:keepNext/>
        <w:keepLines/>
      </w:pPr>
      <w:r>
        <w:rPr>
          <w:rFonts w:cs="Arial"/>
        </w:rPr>
        <w:t xml:space="preserve">Vom 14. November 2010 </w:t>
      </w:r>
      <w:r>
        <w:rPr>
          <w:rFonts w:cs="Arial"/>
        </w:rPr>
        <w:br/>
        <w:t>zuletzt ge</w:t>
      </w:r>
      <w:r>
        <w:rPr>
          <w:rFonts w:cs="Arial"/>
        </w:rPr>
        <w:t>ä</w:t>
      </w:r>
      <w:r>
        <w:rPr>
          <w:rFonts w:cs="Arial"/>
        </w:rPr>
        <w:t xml:space="preserve">ndert durch Verordnung vom 13. Dezember 2021 </w:t>
      </w:r>
      <w:r>
        <w:rPr>
          <w:rFonts w:cs="Arial"/>
        </w:rPr>
        <w:br/>
        <w:t>(GV. NRW. S. 1428)</w:t>
      </w:r>
    </w:p>
    <w:p w14:paraId="60E18724" w14:textId="77777777" w:rsidR="00B13F97" w:rsidRDefault="00B13F97">
      <w:pPr>
        <w:pStyle w:val="RVfliesstext175nb"/>
        <w:widowControl/>
      </w:pPr>
      <w:r>
        <w:t xml:space="preserve">Auf Grund des </w:t>
      </w:r>
      <w:hyperlink r:id="rId7" w:history="1">
        <w:r>
          <w:t>§ 89 Absatz 4 des Schulgesetzes NRW</w:t>
        </w:r>
      </w:hyperlink>
      <w:r>
        <w:rPr>
          <w:rFonts w:cs="Calibri"/>
        </w:rPr>
        <w:t xml:space="preserve"> vom 15. Februar 2005 (GV. NRW. S. 102), der durch Artikel 1 des Gesetzes vom 21. Juli 2018 (GV. NRW. S. 404)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im Einvernehmen mit dem Ministerium f</w:t>
      </w:r>
      <w:r>
        <w:rPr>
          <w:rFonts w:cs="Calibri"/>
        </w:rPr>
        <w:t>ü</w:t>
      </w:r>
      <w:r>
        <w:rPr>
          <w:rFonts w:cs="Calibri"/>
        </w:rPr>
        <w:t>r Heimat, Kommunales, Bau und Gleichstellung:</w:t>
      </w:r>
    </w:p>
    <w:p w14:paraId="470A6BC9" w14:textId="77777777" w:rsidR="00B13F97" w:rsidRDefault="00B13F97">
      <w:pPr>
        <w:pStyle w:val="RVueberschrift285fz"/>
        <w:keepNext/>
        <w:keepLines/>
        <w:rPr>
          <w:rFonts w:cs="Calibri"/>
        </w:rPr>
      </w:pPr>
      <w:bookmarkStart w:id="1" w:name="10-32nr47p01"/>
      <w:bookmarkEnd w:id="1"/>
      <w:r>
        <w:rPr>
          <w:rFonts w:cs="Calibri"/>
        </w:rPr>
        <w:t>§</w:t>
      </w:r>
      <w:r>
        <w:rPr>
          <w:rFonts w:cs="Calibri"/>
        </w:rPr>
        <w:t xml:space="preserve"> 1</w:t>
      </w:r>
      <w:r>
        <w:br/>
        <w:t>Besondere Zust</w:t>
      </w:r>
      <w:r>
        <w:t>ä</w:t>
      </w:r>
      <w:r>
        <w:t xml:space="preserve">ndigkeiten </w:t>
      </w:r>
      <w:r>
        <w:br/>
        <w:t>der unteren Schulaufsichtsbeh</w:t>
      </w:r>
      <w:r>
        <w:t>ö</w:t>
      </w:r>
      <w:r>
        <w:t>rden</w:t>
      </w:r>
    </w:p>
    <w:p w14:paraId="75D5D396" w14:textId="77777777" w:rsidR="00B13F97" w:rsidRDefault="00B13F97">
      <w:pPr>
        <w:pStyle w:val="RVfliesstext175nb"/>
        <w:widowControl/>
        <w:rPr>
          <w:rFonts w:cs="Calibri"/>
        </w:rPr>
      </w:pPr>
      <w:r>
        <w:t>Den Schul</w:t>
      </w:r>
      <w:r>
        <w:t>ä</w:t>
      </w:r>
      <w:r>
        <w:t>mtern werden f</w:t>
      </w:r>
      <w:r>
        <w:t>ü</w:t>
      </w:r>
      <w:r>
        <w:t>r alle Schulformen und Schulstufen die nachstehend aufgef</w:t>
      </w:r>
      <w:r>
        <w:t>ü</w:t>
      </w:r>
      <w:r>
        <w:t xml:space="preserve">hrten weiteren allgemeinen Angelegenheiten zugewiesen: </w:t>
      </w:r>
    </w:p>
    <w:p w14:paraId="27230BF8" w14:textId="77777777" w:rsidR="00B13F97" w:rsidRDefault="00B13F97">
      <w:pPr>
        <w:pStyle w:val="RVfliesstext175nb"/>
        <w:widowControl/>
        <w:rPr>
          <w:rFonts w:cs="Calibri"/>
        </w:rPr>
      </w:pPr>
      <w:r>
        <w:t>1 Information, Beratung und Koordination der Schulen in allgemeinen schulfachlichen Angelegenheiten</w:t>
      </w:r>
    </w:p>
    <w:p w14:paraId="068EE0EB" w14:textId="77777777" w:rsidR="00B13F97" w:rsidRDefault="00B13F97">
      <w:pPr>
        <w:pStyle w:val="RVfliesstext175nb"/>
        <w:widowControl/>
        <w:rPr>
          <w:rFonts w:cs="Calibri"/>
        </w:rPr>
      </w:pPr>
      <w:r>
        <w:t>a) der Beschulung von Sch</w:t>
      </w:r>
      <w:r>
        <w:t>ü</w:t>
      </w:r>
      <w:r>
        <w:t>lerinnen und Sch</w:t>
      </w:r>
      <w:r>
        <w:t>ü</w:t>
      </w:r>
      <w:r>
        <w:t>lern mit Zuwanderungsgeschichte,</w:t>
      </w:r>
    </w:p>
    <w:p w14:paraId="32575736" w14:textId="77777777" w:rsidR="00B13F97" w:rsidRDefault="00B13F97">
      <w:pPr>
        <w:pStyle w:val="RVfliesstext175nb"/>
        <w:widowControl/>
        <w:rPr>
          <w:rFonts w:cs="Calibri"/>
        </w:rPr>
      </w:pPr>
      <w:r>
        <w:t>b) der Verkehrserziehung und Mobilit</w:t>
      </w:r>
      <w:r>
        <w:t>ä</w:t>
      </w:r>
      <w:r>
        <w:t>tsbildung,</w:t>
      </w:r>
    </w:p>
    <w:p w14:paraId="5BB9832A" w14:textId="77777777" w:rsidR="00B13F97" w:rsidRDefault="00B13F97">
      <w:pPr>
        <w:pStyle w:val="RVfliesstext175nb"/>
        <w:widowControl/>
        <w:rPr>
          <w:rFonts w:cs="Calibri"/>
        </w:rPr>
      </w:pPr>
      <w:r>
        <w:t>c) des Schulgesundheitswesens einschlie</w:t>
      </w:r>
      <w:r>
        <w:t>ß</w:t>
      </w:r>
      <w:r>
        <w:t>lich der schulischen Suchtpr</w:t>
      </w:r>
      <w:r>
        <w:t>ä</w:t>
      </w:r>
      <w:r>
        <w:t>vention,</w:t>
      </w:r>
    </w:p>
    <w:p w14:paraId="76E9C636" w14:textId="77777777" w:rsidR="00B13F97" w:rsidRDefault="00B13F97">
      <w:pPr>
        <w:pStyle w:val="RVfliesstext175nb"/>
        <w:widowControl/>
        <w:rPr>
          <w:rFonts w:cs="Calibri"/>
        </w:rPr>
      </w:pPr>
      <w:r>
        <w:t>d) des au</w:t>
      </w:r>
      <w:r>
        <w:t>ß</w:t>
      </w:r>
      <w:r>
        <w:t>erunterrichtlichen Schulsports einschlie</w:t>
      </w:r>
      <w:r>
        <w:t>ß</w:t>
      </w:r>
      <w:r>
        <w:t>lich des schulsportlichen Wettkampfwesens,</w:t>
      </w:r>
    </w:p>
    <w:p w14:paraId="0165EB4D" w14:textId="77777777" w:rsidR="00B13F97" w:rsidRDefault="00B13F97">
      <w:pPr>
        <w:pStyle w:val="RVfliesstext175nb"/>
        <w:widowControl/>
        <w:rPr>
          <w:rFonts w:cs="Calibri"/>
        </w:rPr>
      </w:pPr>
      <w:r>
        <w:t>e) der Sch</w:t>
      </w:r>
      <w:r>
        <w:t>ü</w:t>
      </w:r>
      <w:r>
        <w:t>lerbetriebspraktika an allgemeinbildenden Schulen und</w:t>
      </w:r>
    </w:p>
    <w:p w14:paraId="3E0088D1" w14:textId="77777777" w:rsidR="00B13F97" w:rsidRDefault="00B13F97">
      <w:pPr>
        <w:pStyle w:val="RVfliesstext175nb"/>
        <w:widowControl/>
        <w:rPr>
          <w:rFonts w:cs="Calibri"/>
        </w:rPr>
      </w:pPr>
      <w:r>
        <w:t xml:space="preserve">f) der Zusammenarbeit mit </w:t>
      </w:r>
      <w:r>
        <w:t>ö</w:t>
      </w:r>
      <w:r>
        <w:t>rtlichen Diensten kommunaler und freier Tr</w:t>
      </w:r>
      <w:r>
        <w:t>ä</w:t>
      </w:r>
      <w:r>
        <w:t>ger zur Unterst</w:t>
      </w:r>
      <w:r>
        <w:t>ü</w:t>
      </w:r>
      <w:r>
        <w:t>tzung der Schulen.</w:t>
      </w:r>
    </w:p>
    <w:p w14:paraId="358D9B56" w14:textId="77777777" w:rsidR="00B13F97" w:rsidRDefault="00B13F97">
      <w:pPr>
        <w:pStyle w:val="RVfliesstext175nb"/>
        <w:widowControl/>
        <w:rPr>
          <w:rFonts w:cs="Calibri"/>
        </w:rPr>
      </w:pPr>
      <w:r>
        <w:t>2 Organisation des Hausunterrichts.</w:t>
      </w:r>
    </w:p>
    <w:p w14:paraId="148CF648" w14:textId="77777777" w:rsidR="00B13F97" w:rsidRDefault="00B13F97">
      <w:pPr>
        <w:pStyle w:val="RVfliesstext175nb"/>
        <w:widowControl/>
      </w:pPr>
      <w:bookmarkStart w:id="2" w:name="10-32nr47p1"/>
      <w:bookmarkEnd w:id="2"/>
      <w:r>
        <w:t>3 Beratung, Unterst</w:t>
      </w:r>
      <w:r>
        <w:t>ü</w:t>
      </w:r>
      <w:r>
        <w:t>tzung und Aufsicht bei der schulinternen Lehrerfortbil</w:t>
      </w:r>
      <w:r>
        <w:rPr>
          <w:rFonts w:cs="Calibri"/>
        </w:rPr>
        <w:t>dung; Medienberatung der Schulen; Planung und Durchf</w:t>
      </w:r>
      <w:r>
        <w:rPr>
          <w:rFonts w:cs="Calibri"/>
        </w:rPr>
        <w:t>ü</w:t>
      </w:r>
      <w:r>
        <w:rPr>
          <w:rFonts w:cs="Calibri"/>
        </w:rPr>
        <w:t>hrung von Ma</w:t>
      </w:r>
      <w:r>
        <w:rPr>
          <w:rFonts w:cs="Calibri"/>
        </w:rPr>
        <w:t>ß</w:t>
      </w:r>
      <w:r>
        <w:rPr>
          <w:rFonts w:cs="Calibri"/>
        </w:rPr>
        <w:t xml:space="preserve">nahmen der Lehrerfortbildung der Schulen, soweit sie nicht als </w:t>
      </w:r>
      <w:r>
        <w:rPr>
          <w:rFonts w:cs="Calibri"/>
        </w:rPr>
        <w:t>ü</w:t>
      </w:r>
      <w:r>
        <w:rPr>
          <w:rFonts w:cs="Calibri"/>
        </w:rPr>
        <w:t>berregionale Ma</w:t>
      </w:r>
      <w:r>
        <w:rPr>
          <w:rFonts w:cs="Calibri"/>
        </w:rPr>
        <w:t>ß</w:t>
      </w:r>
      <w:r>
        <w:rPr>
          <w:rFonts w:cs="Calibri"/>
        </w:rPr>
        <w:t>nahmen der Bezirksregierungen oder auf den Regierungsbezirk bezogen angelegt sind.</w:t>
      </w:r>
    </w:p>
    <w:p w14:paraId="7ED0D8EE" w14:textId="77777777" w:rsidR="00B13F97" w:rsidRDefault="00B13F97">
      <w:pPr>
        <w:pStyle w:val="RVfliesstext175nb"/>
        <w:widowControl/>
      </w:pPr>
      <w:r>
        <w:rPr>
          <w:rFonts w:cs="Calibri"/>
        </w:rPr>
        <w:t>4 Auswahl von Personen zur Wahrnehmung der Aufgaben der oder des Datenschutzbeauftragten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8" w:history="1">
        <w:r>
          <w:rPr>
            <w:rFonts w:cs="Calibri"/>
          </w:rPr>
          <w:t>Artikel 39 der Datenschutz-Grundverord</w:t>
        </w:r>
      </w:hyperlink>
      <w:r>
        <w:t>nung</w:t>
      </w:r>
      <w:r>
        <w:rPr>
          <w:rFonts w:cs="Calibri"/>
        </w:rPr>
        <w:t xml:space="preserve"> und Vorschlag an die Bezirksregierungen.</w:t>
      </w:r>
    </w:p>
    <w:p w14:paraId="2D1F2C2E" w14:textId="77777777" w:rsidR="00B13F97" w:rsidRDefault="00B13F97">
      <w:pPr>
        <w:pStyle w:val="RVfliesstext175nb"/>
        <w:widowControl/>
      </w:pPr>
      <w:r>
        <w:rPr>
          <w:rFonts w:cs="Calibri"/>
        </w:rPr>
        <w:t>5 Mitwirkung in Regionalen Bildungsnetzwerken.</w:t>
      </w:r>
    </w:p>
    <w:p w14:paraId="1FEEB528" w14:textId="77777777" w:rsidR="00B13F97" w:rsidRDefault="00B13F97">
      <w:pPr>
        <w:pStyle w:val="RVueberschrift285fz"/>
        <w:keepNext/>
        <w:keepLines/>
        <w:rPr>
          <w:rFonts w:cs="Calibri"/>
        </w:rPr>
      </w:pPr>
      <w:bookmarkStart w:id="3" w:name="10-32nr47p2"/>
      <w:bookmarkEnd w:id="3"/>
      <w:r>
        <w:rPr>
          <w:rFonts w:cs="Calibri"/>
        </w:rPr>
        <w:t>§</w:t>
      </w:r>
      <w:r>
        <w:rPr>
          <w:rFonts w:cs="Calibri"/>
        </w:rPr>
        <w:t xml:space="preserve"> 2 </w:t>
      </w:r>
      <w:r>
        <w:rPr>
          <w:rFonts w:cs="Calibri"/>
        </w:rPr>
        <w:br/>
      </w:r>
      <w:r>
        <w:t>Besondere Zust</w:t>
      </w:r>
      <w:r>
        <w:t>ä</w:t>
      </w:r>
      <w:r>
        <w:t xml:space="preserve">ndigkeiten </w:t>
      </w:r>
      <w:r>
        <w:br/>
        <w:t>der oberen Schulaufsichtsbeh</w:t>
      </w:r>
      <w:r>
        <w:t>ö</w:t>
      </w:r>
      <w:r>
        <w:t>rden</w:t>
      </w:r>
    </w:p>
    <w:p w14:paraId="23A88E35" w14:textId="77777777" w:rsidR="00B13F97" w:rsidRDefault="00B13F97">
      <w:pPr>
        <w:pStyle w:val="RVfliesstext175nb"/>
        <w:widowControl/>
        <w:rPr>
          <w:rFonts w:cs="Calibri"/>
        </w:rPr>
      </w:pPr>
      <w:r>
        <w:t>(1) Den Bezirksregierungen werden folgende landesweiten Zust</w:t>
      </w:r>
      <w:r>
        <w:t>ä</w:t>
      </w:r>
      <w:r>
        <w:t>ndigkeiten zugewiesen:</w:t>
      </w:r>
    </w:p>
    <w:p w14:paraId="14645675" w14:textId="77777777" w:rsidR="00B13F97" w:rsidRDefault="00B13F97">
      <w:pPr>
        <w:pStyle w:val="RVfliesstext175nb"/>
        <w:widowControl/>
        <w:rPr>
          <w:rFonts w:cs="Calibri"/>
        </w:rPr>
      </w:pPr>
      <w:r>
        <w:t>1 Bezirksregierung Arnsberg</w:t>
      </w:r>
    </w:p>
    <w:p w14:paraId="685579C1" w14:textId="77777777" w:rsidR="00B13F97" w:rsidRDefault="00B13F97">
      <w:pPr>
        <w:pStyle w:val="RVfliesstext175nb"/>
        <w:widowControl/>
        <w:rPr>
          <w:rFonts w:cs="Calibri"/>
        </w:rPr>
      </w:pPr>
      <w:r>
        <w:t>1.1 Anerkennung von Bildungsabschl</w:t>
      </w:r>
      <w:r>
        <w:t>ü</w:t>
      </w:r>
      <w:r>
        <w:t>ssen aus den L</w:t>
      </w:r>
      <w:r>
        <w:t>ä</w:t>
      </w:r>
      <w:r>
        <w:t>ndern Baden-W</w:t>
      </w:r>
      <w:r>
        <w:t>ü</w:t>
      </w:r>
      <w:r>
        <w:t>rttemberg, Hessen und Th</w:t>
      </w:r>
      <w:r>
        <w:t>ü</w:t>
      </w:r>
      <w:r>
        <w:t>ringen als Nachweis der Fachhochschulreife</w:t>
      </w:r>
    </w:p>
    <w:p w14:paraId="322CC43F" w14:textId="77777777" w:rsidR="00B13F97" w:rsidRDefault="00B13F97">
      <w:pPr>
        <w:pStyle w:val="RVfliesstext175nb"/>
        <w:widowControl/>
      </w:pPr>
      <w:r>
        <w:t>1</w:t>
      </w:r>
      <w:r>
        <w:rPr>
          <w:rFonts w:cs="Calibri"/>
        </w:rPr>
        <w:t>.</w:t>
      </w:r>
      <w:r>
        <w:t>2 Gleichstellung von Bildungsnachweisen aus Polen</w:t>
      </w:r>
      <w:r>
        <w:rPr>
          <w:rFonts w:cs="Calibri"/>
        </w:rPr>
        <w:t>,</w:t>
      </w:r>
      <w:r>
        <w:t xml:space="preserve"> Rum</w:t>
      </w:r>
      <w:r>
        <w:t>ä</w:t>
      </w:r>
      <w:r>
        <w:t>nien</w:t>
      </w:r>
      <w:r>
        <w:rPr>
          <w:rFonts w:cs="Calibri"/>
        </w:rPr>
        <w:t>,</w:t>
      </w:r>
      <w:r>
        <w:t xml:space="preserve"> Slowakei und Tschechien mit den Abschl</w:t>
      </w:r>
      <w:r>
        <w:t>ü</w:t>
      </w:r>
      <w:r>
        <w:t xml:space="preserve">ssen der Berufsfachschulen </w:t>
      </w:r>
      <w:r>
        <w:rPr>
          <w:rFonts w:cs="Calibri"/>
        </w:rPr>
        <w:t>(</w:t>
      </w:r>
      <w:r>
        <w:t>einschlie</w:t>
      </w:r>
      <w:r>
        <w:t>ß</w:t>
      </w:r>
      <w:r>
        <w:t>lich der Fachschulen f</w:t>
      </w:r>
      <w:r>
        <w:t>ü</w:t>
      </w:r>
      <w:r>
        <w:t>r Sozialp</w:t>
      </w:r>
      <w:r>
        <w:t>ä</w:t>
      </w:r>
      <w:r>
        <w:t>dagogik</w:t>
      </w:r>
      <w:r>
        <w:rPr>
          <w:rFonts w:cs="Calibri"/>
        </w:rPr>
        <w:t>)</w:t>
      </w:r>
      <w:r>
        <w:t xml:space="preserve"> und der zweij</w:t>
      </w:r>
      <w:r>
        <w:t>ä</w:t>
      </w:r>
      <w:r>
        <w:t>hrigen Fachschulen</w:t>
      </w:r>
      <w:r>
        <w:rPr>
          <w:rStyle w:val="FootnoteReference"/>
          <w:rFonts w:ascii="Arial" w:hAnsi="Arial" w:cs="Calibri"/>
        </w:rPr>
        <w:footnoteReference w:id="1"/>
      </w:r>
    </w:p>
    <w:p w14:paraId="7A716446" w14:textId="77777777" w:rsidR="00B13F97" w:rsidRDefault="00B13F97">
      <w:pPr>
        <w:pStyle w:val="RVfliesstext175nb"/>
        <w:widowControl/>
      </w:pPr>
      <w:r>
        <w:rPr>
          <w:rFonts w:cs="Calibri"/>
        </w:rPr>
        <w:t>1.3 F</w:t>
      </w:r>
      <w:r>
        <w:rPr>
          <w:rFonts w:cs="Calibri"/>
        </w:rPr>
        <w:t>ö</w:t>
      </w:r>
      <w:r>
        <w:rPr>
          <w:rFonts w:cs="Calibri"/>
        </w:rPr>
        <w:t>rderzentrum f</w:t>
      </w:r>
      <w:r>
        <w:rPr>
          <w:rFonts w:cs="Calibri"/>
        </w:rPr>
        <w:t>ü</w:t>
      </w:r>
      <w:r>
        <w:rPr>
          <w:rFonts w:cs="Calibri"/>
        </w:rPr>
        <w:t>r die integrative Beschulung blinder und hochgradig sehbehinderter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(FIBS)</w:t>
      </w:r>
    </w:p>
    <w:p w14:paraId="6B20C4E4" w14:textId="77777777" w:rsidR="00B13F97" w:rsidRDefault="00B13F97">
      <w:pPr>
        <w:pStyle w:val="RVfliesstext175nb"/>
        <w:widowControl/>
      </w:pPr>
      <w:r>
        <w:rPr>
          <w:rFonts w:cs="Calibri"/>
        </w:rPr>
        <w:t>2 Bezirksregierung Detmold</w:t>
      </w:r>
    </w:p>
    <w:p w14:paraId="632E5B95" w14:textId="77777777" w:rsidR="00B13F97" w:rsidRDefault="00B13F97">
      <w:pPr>
        <w:pStyle w:val="RVfliesstext175nb"/>
        <w:widowControl/>
      </w:pPr>
      <w:r>
        <w:rPr>
          <w:rFonts w:cs="Calibri"/>
        </w:rPr>
        <w:t>2.1 Anerkennung von Bildungsabschl</w:t>
      </w:r>
      <w:r>
        <w:rPr>
          <w:rFonts w:cs="Calibri"/>
        </w:rPr>
        <w:t>ü</w:t>
      </w:r>
      <w:r>
        <w:rPr>
          <w:rFonts w:cs="Calibri"/>
        </w:rPr>
        <w:t>ssen aus den L</w:t>
      </w:r>
      <w:r>
        <w:rPr>
          <w:rFonts w:cs="Calibri"/>
        </w:rPr>
        <w:t>ä</w:t>
      </w:r>
      <w:r>
        <w:rPr>
          <w:rFonts w:cs="Calibri"/>
        </w:rPr>
        <w:t>ndern Berlin, Brandenburg und Niedersachsen als Nachweis der Fachhochschulreife</w:t>
      </w:r>
    </w:p>
    <w:p w14:paraId="047C4D9B" w14:textId="77777777" w:rsidR="00B13F97" w:rsidRDefault="00B13F97">
      <w:pPr>
        <w:pStyle w:val="RVfliesstext175nb"/>
        <w:widowControl/>
      </w:pPr>
      <w:r>
        <w:rPr>
          <w:rFonts w:cs="Calibri"/>
        </w:rPr>
        <w:t>2.2 Gleichstellung von Bildungsnachweisen aus Albanien, Bulgarien, Ungarn und den Staaten, die aus der ehemaligen UdSSR hervorgegangen sind, mit den Abschl</w:t>
      </w:r>
      <w:r>
        <w:rPr>
          <w:rFonts w:cs="Calibri"/>
        </w:rPr>
        <w:t>ü</w:t>
      </w:r>
      <w:r>
        <w:rPr>
          <w:rFonts w:cs="Calibri"/>
        </w:rPr>
        <w:t>ssen der Berufsfachschulen (einschlie</w:t>
      </w:r>
      <w:r>
        <w:rPr>
          <w:rFonts w:cs="Calibri"/>
        </w:rPr>
        <w:t>ß</w:t>
      </w:r>
      <w:r>
        <w:rPr>
          <w:rFonts w:cs="Calibri"/>
        </w:rPr>
        <w:t>lich der Fachschulen f</w:t>
      </w:r>
      <w:r>
        <w:rPr>
          <w:rFonts w:cs="Calibri"/>
        </w:rPr>
        <w:t>ü</w:t>
      </w:r>
      <w:r>
        <w:rPr>
          <w:rFonts w:cs="Calibri"/>
        </w:rPr>
        <w:t>r Sozialp</w:t>
      </w:r>
      <w:r>
        <w:rPr>
          <w:rFonts w:cs="Calibri"/>
        </w:rPr>
        <w:t>ä</w:t>
      </w:r>
      <w:r>
        <w:rPr>
          <w:rFonts w:cs="Calibri"/>
        </w:rPr>
        <w:t>dagogik) und der zweij</w:t>
      </w:r>
      <w:r>
        <w:rPr>
          <w:rFonts w:cs="Calibri"/>
        </w:rPr>
        <w:t>ä</w:t>
      </w:r>
      <w:r>
        <w:rPr>
          <w:rFonts w:cs="Calibri"/>
        </w:rPr>
        <w:t>hrigen Fachschulen</w:t>
      </w:r>
      <w:hyperlink w:anchor="FN1" w:history="1">
        <w:r>
          <w:rPr>
            <w:rStyle w:val="FNhochgestelltblau"/>
            <w:rFonts w:cs="Calibri"/>
          </w:rPr>
          <w:t>1</w:t>
        </w:r>
      </w:hyperlink>
    </w:p>
    <w:p w14:paraId="2FB9EB0E" w14:textId="77777777" w:rsidR="00B13F97" w:rsidRDefault="00B13F97">
      <w:pPr>
        <w:pStyle w:val="RVfliesstext175nb"/>
        <w:widowControl/>
      </w:pPr>
      <w:r>
        <w:rPr>
          <w:rFonts w:cs="Calibri"/>
        </w:rPr>
        <w:t>3 Bezirksregierung D</w:t>
      </w:r>
      <w:r>
        <w:rPr>
          <w:rFonts w:cs="Calibri"/>
        </w:rPr>
        <w:t>ü</w:t>
      </w:r>
      <w:r>
        <w:rPr>
          <w:rFonts w:cs="Calibri"/>
        </w:rPr>
        <w:t>sseldorf</w:t>
      </w:r>
    </w:p>
    <w:p w14:paraId="0A7B5753" w14:textId="77777777" w:rsidR="00B13F97" w:rsidRDefault="00B13F97">
      <w:pPr>
        <w:pStyle w:val="RVfliesstext175nb"/>
        <w:widowControl/>
      </w:pPr>
      <w:r>
        <w:rPr>
          <w:rFonts w:cs="Calibri"/>
        </w:rPr>
        <w:t>3.1 Zentrale Zeugnisanerkennungsstelle f</w:t>
      </w:r>
      <w:r>
        <w:rPr>
          <w:rFonts w:cs="Calibri"/>
        </w:rPr>
        <w:t>ü</w:t>
      </w:r>
      <w:r>
        <w:rPr>
          <w:rFonts w:cs="Calibri"/>
        </w:rPr>
        <w:t>r die Feststellung der Gleichwertigkeit</w:t>
      </w:r>
    </w:p>
    <w:p w14:paraId="38D1B975" w14:textId="77777777" w:rsidR="00B13F97" w:rsidRDefault="00B13F97">
      <w:pPr>
        <w:pStyle w:val="RVfliesstext175nb"/>
        <w:widowControl/>
      </w:pPr>
      <w:r>
        <w:rPr>
          <w:rFonts w:cs="Calibri"/>
        </w:rPr>
        <w:t>a) von Vorbildungsnachweisen mit dem Zeugnis der Hochschulreife</w:t>
      </w:r>
    </w:p>
    <w:p w14:paraId="60C4A115" w14:textId="77777777" w:rsidR="00B13F97" w:rsidRDefault="00B13F97">
      <w:pPr>
        <w:pStyle w:val="RVfliesstext175nb"/>
        <w:widowControl/>
      </w:pPr>
      <w:r>
        <w:rPr>
          <w:rFonts w:cs="Calibri"/>
        </w:rPr>
        <w:t>b) ausl</w:t>
      </w:r>
      <w:r>
        <w:rPr>
          <w:rFonts w:cs="Calibri"/>
        </w:rPr>
        <w:t>ä</w:t>
      </w:r>
      <w:r>
        <w:rPr>
          <w:rFonts w:cs="Calibri"/>
        </w:rPr>
        <w:t>ndischer Vorbildungsnachweise mit dem Zeugnis der Hochschulreife</w:t>
      </w:r>
    </w:p>
    <w:p w14:paraId="72648BD3" w14:textId="77777777" w:rsidR="00B13F97" w:rsidRDefault="00B13F97">
      <w:pPr>
        <w:pStyle w:val="RVfliesstext175nb"/>
        <w:widowControl/>
      </w:pPr>
      <w:r>
        <w:rPr>
          <w:rFonts w:cs="Calibri"/>
        </w:rPr>
        <w:t>c) Vorbildungsnachweise mit dem Zeugnis der Fachhochschulreife</w:t>
      </w:r>
    </w:p>
    <w:p w14:paraId="16551EC2" w14:textId="77777777" w:rsidR="00B13F97" w:rsidRDefault="00B13F97">
      <w:pPr>
        <w:pStyle w:val="RVfliesstext175nb"/>
        <w:widowControl/>
      </w:pPr>
      <w:r>
        <w:rPr>
          <w:rFonts w:cs="Calibri"/>
        </w:rPr>
        <w:t>3.2 Anerkennung von Bildungsabschl</w:t>
      </w:r>
      <w:r>
        <w:rPr>
          <w:rFonts w:cs="Calibri"/>
        </w:rPr>
        <w:t>ü</w:t>
      </w:r>
      <w:r>
        <w:rPr>
          <w:rFonts w:cs="Calibri"/>
        </w:rPr>
        <w:t>ssen aus den L</w:t>
      </w:r>
      <w:r>
        <w:rPr>
          <w:rFonts w:cs="Calibri"/>
        </w:rPr>
        <w:t>ä</w:t>
      </w:r>
      <w:r>
        <w:rPr>
          <w:rFonts w:cs="Calibri"/>
        </w:rPr>
        <w:t>ndern Bayern, Bremen und Sachsen als Nachweis der Fachhochschulreife</w:t>
      </w:r>
    </w:p>
    <w:p w14:paraId="5A89AAC1" w14:textId="77777777" w:rsidR="00B13F97" w:rsidRDefault="00B13F97">
      <w:pPr>
        <w:pStyle w:val="RVfliesstext175nb"/>
        <w:widowControl/>
      </w:pPr>
      <w:r>
        <w:rPr>
          <w:rFonts w:cs="Calibri"/>
        </w:rPr>
        <w:t xml:space="preserve">3.3 Gleichstellung von Bildungsnachweisen aus Griechenland, </w:t>
      </w:r>
      <w:r>
        <w:rPr>
          <w:rFonts w:cs="Calibri"/>
        </w:rPr>
        <w:t>Ö</w:t>
      </w:r>
      <w:r>
        <w:rPr>
          <w:rFonts w:cs="Calibri"/>
        </w:rPr>
        <w:t>sterreich, Schweiz, T</w:t>
      </w:r>
      <w:r>
        <w:rPr>
          <w:rFonts w:cs="Calibri"/>
        </w:rPr>
        <w:t>ü</w:t>
      </w:r>
      <w:r>
        <w:rPr>
          <w:rFonts w:cs="Calibri"/>
        </w:rPr>
        <w:t>rkei und den Staaten, die aus dem ehemaligen Jugoslawien hervorgegangen sind, mit den Abschl</w:t>
      </w:r>
      <w:r>
        <w:rPr>
          <w:rFonts w:cs="Calibri"/>
        </w:rPr>
        <w:t>ü</w:t>
      </w:r>
      <w:r>
        <w:rPr>
          <w:rFonts w:cs="Calibri"/>
        </w:rPr>
        <w:t>ssen der Berufsfachschulen (ein</w:t>
      </w:r>
      <w:r>
        <w:rPr>
          <w:rFonts w:cs="Calibri"/>
        </w:rPr>
        <w:t>schlie</w:t>
      </w:r>
      <w:r>
        <w:rPr>
          <w:rFonts w:cs="Calibri"/>
        </w:rPr>
        <w:t>ß</w:t>
      </w:r>
      <w:r>
        <w:rPr>
          <w:rFonts w:cs="Calibri"/>
        </w:rPr>
        <w:t>lich der Fachschulen f</w:t>
      </w:r>
      <w:r>
        <w:rPr>
          <w:rFonts w:cs="Calibri"/>
        </w:rPr>
        <w:t>ü</w:t>
      </w:r>
      <w:r>
        <w:rPr>
          <w:rFonts w:cs="Calibri"/>
        </w:rPr>
        <w:t>r Sozialp</w:t>
      </w:r>
      <w:r>
        <w:rPr>
          <w:rFonts w:cs="Calibri"/>
        </w:rPr>
        <w:t>ä</w:t>
      </w:r>
      <w:r>
        <w:rPr>
          <w:rFonts w:cs="Calibri"/>
        </w:rPr>
        <w:t>dagogik) und der zweij</w:t>
      </w:r>
      <w:r>
        <w:rPr>
          <w:rFonts w:cs="Calibri"/>
        </w:rPr>
        <w:t>ä</w:t>
      </w:r>
      <w:r>
        <w:rPr>
          <w:rFonts w:cs="Calibri"/>
        </w:rPr>
        <w:t>hrigen Fachschulen</w:t>
      </w:r>
      <w:hyperlink w:anchor="FN1" w:history="1">
        <w:r>
          <w:rPr>
            <w:rStyle w:val="FNhochgestelltblau"/>
            <w:rFonts w:cs="Calibri"/>
          </w:rPr>
          <w:t>1</w:t>
        </w:r>
      </w:hyperlink>
    </w:p>
    <w:p w14:paraId="6E688361" w14:textId="77777777" w:rsidR="00B13F97" w:rsidRDefault="00B13F97">
      <w:pPr>
        <w:pStyle w:val="RVfliesstext175nb"/>
        <w:widowControl/>
      </w:pPr>
      <w:r>
        <w:rPr>
          <w:rFonts w:cs="Calibri"/>
        </w:rPr>
        <w:t>3.4 Internationaler Austausch (Lehrerinnen und Lehrer, Fremdsprachenassistentinnen und -assistenten sowie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ler)</w:t>
      </w:r>
    </w:p>
    <w:p w14:paraId="3A851534" w14:textId="77777777" w:rsidR="00B13F97" w:rsidRDefault="00B13F97">
      <w:pPr>
        <w:pStyle w:val="RVfliesstext175nb"/>
        <w:widowControl/>
      </w:pPr>
      <w:r>
        <w:rPr>
          <w:rFonts w:cs="Calibri"/>
        </w:rPr>
        <w:t xml:space="preserve">3.5 Angelegenheiten </w:t>
      </w:r>
      <w:r>
        <w:rPr>
          <w:rFonts w:cs="Calibri"/>
        </w:rPr>
        <w:t>ü</w:t>
      </w:r>
      <w:r>
        <w:rPr>
          <w:rFonts w:cs="Calibri"/>
        </w:rPr>
        <w:t>ber</w:t>
      </w:r>
      <w:r>
        <w:rPr>
          <w:rFonts w:cs="Calibri"/>
        </w:rPr>
        <w:t>ö</w:t>
      </w:r>
      <w:r>
        <w:rPr>
          <w:rFonts w:cs="Calibri"/>
        </w:rPr>
        <w:t>rtlicher Zusammenschl</w:t>
      </w:r>
      <w:r>
        <w:rPr>
          <w:rFonts w:cs="Calibri"/>
        </w:rPr>
        <w:t>ü</w:t>
      </w:r>
      <w:r>
        <w:rPr>
          <w:rFonts w:cs="Calibri"/>
        </w:rPr>
        <w:t>sse der Sch</w:t>
      </w:r>
      <w:r>
        <w:rPr>
          <w:rFonts w:cs="Calibri"/>
        </w:rPr>
        <w:t>ü</w:t>
      </w:r>
      <w:r>
        <w:rPr>
          <w:rFonts w:cs="Calibri"/>
        </w:rPr>
        <w:t>lervertretungen sowie der Dachverb</w:t>
      </w:r>
      <w:r>
        <w:rPr>
          <w:rFonts w:cs="Calibri"/>
        </w:rPr>
        <w:t>ä</w:t>
      </w:r>
      <w:r>
        <w:rPr>
          <w:rFonts w:cs="Calibri"/>
        </w:rPr>
        <w:t>nde der Landessch</w:t>
      </w:r>
      <w:r>
        <w:rPr>
          <w:rFonts w:cs="Calibri"/>
        </w:rPr>
        <w:t>ü</w:t>
      </w:r>
      <w:r>
        <w:rPr>
          <w:rFonts w:cs="Calibri"/>
        </w:rPr>
        <w:t>lerpresse</w:t>
      </w:r>
    </w:p>
    <w:p w14:paraId="1E8B3433" w14:textId="77777777" w:rsidR="00B13F97" w:rsidRDefault="00B13F97">
      <w:pPr>
        <w:pStyle w:val="RVfliesstext175nb"/>
        <w:widowControl/>
      </w:pPr>
      <w:r>
        <w:rPr>
          <w:rFonts w:cs="Calibri"/>
        </w:rPr>
        <w:t>3.6 Landesstelle f</w:t>
      </w:r>
      <w:r>
        <w:rPr>
          <w:rFonts w:cs="Calibri"/>
        </w:rPr>
        <w:t>ü</w:t>
      </w:r>
      <w:r>
        <w:rPr>
          <w:rFonts w:cs="Calibri"/>
        </w:rPr>
        <w:t>r den Schulsport (ausgenommen Curriculumentwicklung, Qualit</w:t>
      </w:r>
      <w:r>
        <w:rPr>
          <w:rFonts w:cs="Calibri"/>
        </w:rPr>
        <w:t>ä</w:t>
      </w:r>
      <w:r>
        <w:rPr>
          <w:rFonts w:cs="Calibri"/>
        </w:rPr>
        <w:t>tssicherung)</w:t>
      </w:r>
    </w:p>
    <w:p w14:paraId="5D5E46DE" w14:textId="77777777" w:rsidR="00B13F97" w:rsidRDefault="00B13F97">
      <w:pPr>
        <w:pStyle w:val="RVfliesstext175nb"/>
        <w:widowControl/>
      </w:pPr>
      <w:r>
        <w:rPr>
          <w:rFonts w:cs="Calibri"/>
        </w:rPr>
        <w:t>4 Bezirksregierung K</w:t>
      </w:r>
      <w:r>
        <w:rPr>
          <w:rFonts w:cs="Calibri"/>
        </w:rPr>
        <w:t>ö</w:t>
      </w:r>
      <w:r>
        <w:rPr>
          <w:rFonts w:cs="Calibri"/>
        </w:rPr>
        <w:t>ln</w:t>
      </w:r>
    </w:p>
    <w:p w14:paraId="04D19149" w14:textId="77777777" w:rsidR="00B13F97" w:rsidRDefault="00B13F97">
      <w:pPr>
        <w:pStyle w:val="RVfliesstext175nb"/>
        <w:widowControl/>
      </w:pPr>
      <w:r>
        <w:rPr>
          <w:rFonts w:cs="Calibri"/>
        </w:rPr>
        <w:t>4.1 Zuerkennung aller Schulabschl</w:t>
      </w:r>
      <w:r>
        <w:rPr>
          <w:rFonts w:cs="Calibri"/>
        </w:rPr>
        <w:t>ü</w:t>
      </w:r>
      <w:r>
        <w:rPr>
          <w:rFonts w:cs="Calibri"/>
        </w:rPr>
        <w:t>sse der Sekundarstufe I aufgrund von Zeugnissen anderer L</w:t>
      </w:r>
      <w:r>
        <w:rPr>
          <w:rFonts w:cs="Calibri"/>
        </w:rPr>
        <w:t>ä</w:t>
      </w:r>
      <w:r>
        <w:rPr>
          <w:rFonts w:cs="Calibri"/>
        </w:rPr>
        <w:t>nder und von Zeugnissen, die au</w:t>
      </w:r>
      <w:r>
        <w:rPr>
          <w:rFonts w:cs="Calibri"/>
        </w:rPr>
        <w:t>ß</w:t>
      </w:r>
      <w:r>
        <w:rPr>
          <w:rFonts w:cs="Calibri"/>
        </w:rPr>
        <w:t>erhalb des Geltungsbereiches des Grundgesetzes erworben wurden</w:t>
      </w:r>
    </w:p>
    <w:p w14:paraId="76BF60CD" w14:textId="77777777" w:rsidR="00B13F97" w:rsidRDefault="00B13F97">
      <w:pPr>
        <w:pStyle w:val="RVfliesstext175nb"/>
        <w:widowControl/>
      </w:pPr>
      <w:r>
        <w:rPr>
          <w:rFonts w:cs="Calibri"/>
        </w:rPr>
        <w:t>4.2 Anerkennung von Bildungsabschl</w:t>
      </w:r>
      <w:r>
        <w:rPr>
          <w:rFonts w:cs="Calibri"/>
        </w:rPr>
        <w:t>ü</w:t>
      </w:r>
      <w:r>
        <w:rPr>
          <w:rFonts w:cs="Calibri"/>
        </w:rPr>
        <w:t>ssen aus den L</w:t>
      </w:r>
      <w:r>
        <w:rPr>
          <w:rFonts w:cs="Calibri"/>
        </w:rPr>
        <w:t>ä</w:t>
      </w:r>
      <w:r>
        <w:rPr>
          <w:rFonts w:cs="Calibri"/>
        </w:rPr>
        <w:t>ndern Rheinland-Pfalz, Saarland und Sachsen-Anhalt als Nachweis der Fachhochschulreife</w:t>
      </w:r>
    </w:p>
    <w:p w14:paraId="26F19D06" w14:textId="77777777" w:rsidR="00B13F97" w:rsidRDefault="00B13F97">
      <w:pPr>
        <w:pStyle w:val="RVfliesstext175nb"/>
        <w:widowControl/>
      </w:pPr>
      <w:r>
        <w:rPr>
          <w:rFonts w:cs="Calibri"/>
        </w:rPr>
        <w:t>4.3 Gleichstellung von Bildungsnachweisen aus Belgien, Frankreich, Gro</w:t>
      </w:r>
      <w:r>
        <w:rPr>
          <w:rFonts w:cs="Calibri"/>
        </w:rPr>
        <w:t>ß</w:t>
      </w:r>
      <w:r>
        <w:rPr>
          <w:rFonts w:cs="Calibri"/>
        </w:rPr>
        <w:t>britannien, Irland, Italien, Luxemburg, Niederlande, Portugal und Spanien mit den Abschl</w:t>
      </w:r>
      <w:r>
        <w:rPr>
          <w:rFonts w:cs="Calibri"/>
        </w:rPr>
        <w:t>ü</w:t>
      </w:r>
      <w:r>
        <w:rPr>
          <w:rFonts w:cs="Calibri"/>
        </w:rPr>
        <w:t>ssen der Berufsfachschulen (einschlie</w:t>
      </w:r>
      <w:r>
        <w:rPr>
          <w:rFonts w:cs="Calibri"/>
        </w:rPr>
        <w:t>ß</w:t>
      </w:r>
      <w:r>
        <w:rPr>
          <w:rFonts w:cs="Calibri"/>
        </w:rPr>
        <w:t>lich der Fachschulen f</w:t>
      </w:r>
      <w:r>
        <w:rPr>
          <w:rFonts w:cs="Calibri"/>
        </w:rPr>
        <w:t>ü</w:t>
      </w:r>
      <w:r>
        <w:rPr>
          <w:rFonts w:cs="Calibri"/>
        </w:rPr>
        <w:t>r Sozialp</w:t>
      </w:r>
      <w:r>
        <w:rPr>
          <w:rFonts w:cs="Calibri"/>
        </w:rPr>
        <w:t>ä</w:t>
      </w:r>
      <w:r>
        <w:rPr>
          <w:rFonts w:cs="Calibri"/>
        </w:rPr>
        <w:t>dagogik) und der zweij</w:t>
      </w:r>
      <w:r>
        <w:rPr>
          <w:rFonts w:cs="Calibri"/>
        </w:rPr>
        <w:t>ä</w:t>
      </w:r>
      <w:r>
        <w:rPr>
          <w:rFonts w:cs="Calibri"/>
        </w:rPr>
        <w:t>hrigen Fachschulen</w:t>
      </w:r>
      <w:hyperlink w:anchor="FN1" w:history="1">
        <w:r>
          <w:rPr>
            <w:rStyle w:val="FNhochgestelltblau"/>
            <w:rFonts w:cs="Calibri"/>
          </w:rPr>
          <w:t>1</w:t>
        </w:r>
      </w:hyperlink>
    </w:p>
    <w:p w14:paraId="1E21AF19" w14:textId="77777777" w:rsidR="00B13F97" w:rsidRDefault="00B13F97">
      <w:pPr>
        <w:pStyle w:val="RVfliesstext175nb"/>
        <w:widowControl/>
      </w:pPr>
      <w:r>
        <w:rPr>
          <w:rFonts w:cs="Calibri"/>
        </w:rPr>
        <w:t>4.4 Gleichstellung von Bildungsnachweisen aus der ehemaligen Deutschen Demokratischen Republik mit den Abschl</w:t>
      </w:r>
      <w:r>
        <w:rPr>
          <w:rFonts w:cs="Calibri"/>
        </w:rPr>
        <w:t>ü</w:t>
      </w:r>
      <w:r>
        <w:rPr>
          <w:rFonts w:cs="Calibri"/>
        </w:rPr>
        <w:t>ssen von Bildungsg</w:t>
      </w:r>
      <w:r>
        <w:rPr>
          <w:rFonts w:cs="Calibri"/>
        </w:rPr>
        <w:t>ä</w:t>
      </w:r>
      <w:r>
        <w:rPr>
          <w:rFonts w:cs="Calibri"/>
        </w:rPr>
        <w:t>ngen des Berufskollegs (einschlie</w:t>
      </w:r>
      <w:r>
        <w:rPr>
          <w:rFonts w:cs="Calibri"/>
        </w:rPr>
        <w:t>ß</w:t>
      </w:r>
      <w:r>
        <w:rPr>
          <w:rFonts w:cs="Calibri"/>
        </w:rPr>
        <w:t>lich der Fachhochschulreife)</w:t>
      </w:r>
    </w:p>
    <w:p w14:paraId="0D47033D" w14:textId="77777777" w:rsidR="00B13F97" w:rsidRDefault="00B13F97">
      <w:pPr>
        <w:pStyle w:val="RVfliesstext175nb"/>
        <w:widowControl/>
      </w:pPr>
      <w:r>
        <w:rPr>
          <w:rFonts w:cs="Calibri"/>
        </w:rPr>
        <w:t>4.5 Abnahme der Feststellungspr</w:t>
      </w:r>
      <w:r>
        <w:rPr>
          <w:rFonts w:cs="Calibri"/>
        </w:rPr>
        <w:t>ü</w:t>
      </w:r>
      <w:r>
        <w:rPr>
          <w:rFonts w:cs="Calibri"/>
        </w:rPr>
        <w:t>fung zur Aufnahme eines Hochschulstudiums nach der Feststellungspr</w:t>
      </w:r>
      <w:r>
        <w:rPr>
          <w:rFonts w:cs="Calibri"/>
        </w:rPr>
        <w:t>ü</w:t>
      </w:r>
      <w:r>
        <w:rPr>
          <w:rFonts w:cs="Calibri"/>
        </w:rPr>
        <w:t>fungsordnung Hochschule (PO-FeP-Hochschule)</w:t>
      </w:r>
    </w:p>
    <w:p w14:paraId="7853F4A1" w14:textId="77777777" w:rsidR="00B13F97" w:rsidRDefault="00B13F97">
      <w:pPr>
        <w:pStyle w:val="RVfliesstext175nb"/>
        <w:widowControl/>
      </w:pPr>
      <w:r>
        <w:rPr>
          <w:rFonts w:cs="Calibri"/>
        </w:rPr>
        <w:t>5 Bezirksregierung M</w:t>
      </w:r>
      <w:r>
        <w:rPr>
          <w:rFonts w:cs="Calibri"/>
        </w:rPr>
        <w:t>ü</w:t>
      </w:r>
      <w:r>
        <w:rPr>
          <w:rFonts w:cs="Calibri"/>
        </w:rPr>
        <w:t>nster</w:t>
      </w:r>
    </w:p>
    <w:p w14:paraId="47DCAA8A" w14:textId="77777777" w:rsidR="00B13F97" w:rsidRDefault="00B13F97">
      <w:pPr>
        <w:pStyle w:val="RVfliesstext175nb"/>
        <w:widowControl/>
      </w:pPr>
      <w:r>
        <w:rPr>
          <w:rFonts w:cs="Calibri"/>
        </w:rPr>
        <w:t>5.1 Gleichstellung von Bildungsnachweisen aus D</w:t>
      </w:r>
      <w:r>
        <w:rPr>
          <w:rFonts w:cs="Calibri"/>
        </w:rPr>
        <w:t>ä</w:t>
      </w:r>
      <w:r>
        <w:rPr>
          <w:rFonts w:cs="Calibri"/>
        </w:rPr>
        <w:t>nemark, Finnland, Island, Norwegen, Schweden und allen au</w:t>
      </w:r>
      <w:r>
        <w:rPr>
          <w:rFonts w:cs="Calibri"/>
        </w:rPr>
        <w:t>ß</w:t>
      </w:r>
      <w:r>
        <w:rPr>
          <w:rFonts w:cs="Calibri"/>
        </w:rPr>
        <w:t>ereurop</w:t>
      </w:r>
      <w:r>
        <w:rPr>
          <w:rFonts w:cs="Calibri"/>
        </w:rPr>
        <w:t>ä</w:t>
      </w:r>
      <w:r>
        <w:rPr>
          <w:rFonts w:cs="Calibri"/>
        </w:rPr>
        <w:t>ischen Staaten mit den Abschl</w:t>
      </w:r>
      <w:r>
        <w:rPr>
          <w:rFonts w:cs="Calibri"/>
        </w:rPr>
        <w:t>ü</w:t>
      </w:r>
      <w:r>
        <w:rPr>
          <w:rFonts w:cs="Calibri"/>
        </w:rPr>
        <w:t>ssen der Berufsfachschulen (einschlie</w:t>
      </w:r>
      <w:r>
        <w:rPr>
          <w:rFonts w:cs="Calibri"/>
        </w:rPr>
        <w:t>ß</w:t>
      </w:r>
      <w:r>
        <w:rPr>
          <w:rFonts w:cs="Calibri"/>
        </w:rPr>
        <w:t>lich der Fachschulen f</w:t>
      </w:r>
      <w:r>
        <w:rPr>
          <w:rFonts w:cs="Calibri"/>
        </w:rPr>
        <w:t>ü</w:t>
      </w:r>
      <w:r>
        <w:rPr>
          <w:rFonts w:cs="Calibri"/>
        </w:rPr>
        <w:t>r Sozialp</w:t>
      </w:r>
      <w:r>
        <w:rPr>
          <w:rFonts w:cs="Calibri"/>
        </w:rPr>
        <w:t>ä</w:t>
      </w:r>
      <w:r>
        <w:rPr>
          <w:rFonts w:cs="Calibri"/>
        </w:rPr>
        <w:t>dagogik) und der zweij</w:t>
      </w:r>
      <w:r>
        <w:rPr>
          <w:rFonts w:cs="Calibri"/>
        </w:rPr>
        <w:t>ä</w:t>
      </w:r>
      <w:r>
        <w:rPr>
          <w:rFonts w:cs="Calibri"/>
        </w:rPr>
        <w:t>hrigen Fachschulen</w:t>
      </w:r>
      <w:hyperlink w:anchor="FN1" w:history="1">
        <w:r>
          <w:rPr>
            <w:rStyle w:val="FNhochgestelltblau"/>
            <w:rFonts w:cs="Calibri"/>
          </w:rPr>
          <w:t>1</w:t>
        </w:r>
      </w:hyperlink>
    </w:p>
    <w:p w14:paraId="77875941" w14:textId="77777777" w:rsidR="00B13F97" w:rsidRDefault="00B13F97">
      <w:pPr>
        <w:pStyle w:val="RVfliesstext175nb"/>
        <w:widowControl/>
      </w:pPr>
      <w:r>
        <w:rPr>
          <w:rFonts w:cs="Calibri"/>
        </w:rPr>
        <w:t>5.2 Anerkennung ausl</w:t>
      </w:r>
      <w:r>
        <w:rPr>
          <w:rFonts w:cs="Calibri"/>
        </w:rPr>
        <w:t>ä</w:t>
      </w:r>
      <w:r>
        <w:rPr>
          <w:rFonts w:cs="Calibri"/>
        </w:rPr>
        <w:t>ndischer Zeugnisse f</w:t>
      </w:r>
      <w:r>
        <w:rPr>
          <w:rFonts w:cs="Calibri"/>
        </w:rPr>
        <w:t>ü</w:t>
      </w:r>
      <w:r>
        <w:rPr>
          <w:rFonts w:cs="Calibri"/>
        </w:rPr>
        <w:t>r Sportlehrerinnen und Sportlehrer</w:t>
      </w:r>
    </w:p>
    <w:p w14:paraId="1E780CC0" w14:textId="77777777" w:rsidR="00B13F97" w:rsidRDefault="00B13F97">
      <w:pPr>
        <w:pStyle w:val="RVfliesstext175nb"/>
        <w:widowControl/>
      </w:pPr>
      <w:r>
        <w:rPr>
          <w:rFonts w:cs="Calibri"/>
        </w:rPr>
        <w:t>5.3 Anerkennung von Bildungsabschl</w:t>
      </w:r>
      <w:r>
        <w:rPr>
          <w:rFonts w:cs="Calibri"/>
        </w:rPr>
        <w:t>ü</w:t>
      </w:r>
      <w:r>
        <w:rPr>
          <w:rFonts w:cs="Calibri"/>
        </w:rPr>
        <w:t>ssen aus den L</w:t>
      </w:r>
      <w:r>
        <w:rPr>
          <w:rFonts w:cs="Calibri"/>
        </w:rPr>
        <w:t>ä</w:t>
      </w:r>
      <w:r>
        <w:rPr>
          <w:rFonts w:cs="Calibri"/>
        </w:rPr>
        <w:t>ndern Hamburg, Mecklenburg-Vorpommern und Schleswig-Holstein als Nachweis der Fachhochschulreife.</w:t>
      </w:r>
    </w:p>
    <w:p w14:paraId="7E8DD838" w14:textId="77777777" w:rsidR="00B13F97" w:rsidRDefault="00B13F97">
      <w:pPr>
        <w:pStyle w:val="RVfliesstext175nb"/>
        <w:widowControl/>
        <w:rPr>
          <w:rFonts w:cs="Calibri"/>
        </w:rPr>
      </w:pPr>
      <w:r>
        <w:rPr>
          <w:rFonts w:cs="Calibri"/>
        </w:rPr>
        <w:t>(2) Beantragt ein Schultr</w:t>
      </w:r>
      <w:r>
        <w:rPr>
          <w:rFonts w:cs="Calibri"/>
        </w:rPr>
        <w:t>ä</w:t>
      </w:r>
      <w:r>
        <w:rPr>
          <w:rFonts w:cs="Calibri"/>
        </w:rPr>
        <w:t>ger von Ersatzschulen eine Erm</w:t>
      </w:r>
      <w:r>
        <w:rPr>
          <w:rFonts w:cs="Calibri"/>
        </w:rPr>
        <w:t>äß</w:t>
      </w:r>
      <w:r>
        <w:rPr>
          <w:rFonts w:cs="Calibri"/>
        </w:rPr>
        <w:t>igung der Eigenleistung nach</w:t>
      </w:r>
      <w:hyperlink w:anchor="https://bass.schul-welt.de/6043.htm#1-1p106(7)" w:history="1">
        <w:r>
          <w:rPr>
            <w:rFonts w:cs="Calibri"/>
          </w:rPr>
          <w:t xml:space="preserve"> </w:t>
        </w:r>
        <w:r>
          <w:rPr>
            <w:rFonts w:cs="Calibri"/>
          </w:rPr>
          <w:t>§</w:t>
        </w:r>
        <w:r>
          <w:rPr>
            <w:rFonts w:cs="Calibri"/>
          </w:rPr>
          <w:t xml:space="preserve"> 106 Absatz 7 bis 9 Schulgesetz</w:t>
        </w:r>
      </w:hyperlink>
      <w:r>
        <w:t xml:space="preserve"> NRW in Verbindung mit </w:t>
      </w:r>
      <w:hyperlink w:anchor="https://bass.schul-welt.de/6172.htm#11-03nr7.1p2(4)" w:history="1">
        <w:r>
          <w:t>§</w:t>
        </w:r>
        <w:r>
          <w:t xml:space="preserve"> 2 Absatz 4 Ersatzschulfinanzierungsverordnung</w:t>
        </w:r>
      </w:hyperlink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r mehrere Ersatzschulen, die im Bezirk verschiedener oberer Schulaufsichtsbeh</w:t>
      </w:r>
      <w:r>
        <w:rPr>
          <w:rFonts w:cs="Calibri"/>
        </w:rPr>
        <w:t>ö</w:t>
      </w:r>
      <w:r>
        <w:rPr>
          <w:rFonts w:cs="Calibri"/>
        </w:rPr>
        <w:t>rden liegen, so entscheidet - oder in den F</w:t>
      </w:r>
      <w:r>
        <w:rPr>
          <w:rFonts w:cs="Calibri"/>
        </w:rPr>
        <w:t>ä</w:t>
      </w:r>
      <w:r>
        <w:rPr>
          <w:rFonts w:cs="Calibri"/>
        </w:rPr>
        <w:t>llen des</w:t>
      </w:r>
      <w:hyperlink w:anchor="https://bass.schul-welt.de/6043.htm#1-1p106(9)" w:history="1">
        <w:r>
          <w:rPr>
            <w:rFonts w:cs="Calibri"/>
          </w:rPr>
          <w:t xml:space="preserve"> </w:t>
        </w:r>
        <w:r>
          <w:rPr>
            <w:rFonts w:cs="Calibri"/>
          </w:rPr>
          <w:t>§</w:t>
        </w:r>
        <w:r>
          <w:rPr>
            <w:rFonts w:cs="Calibri"/>
          </w:rPr>
          <w:t xml:space="preserve"> 106 Absatz 9 Schulgesetz</w:t>
        </w:r>
      </w:hyperlink>
      <w:r>
        <w:t xml:space="preserve"> NRW berichtet - die Bezirksregierung </w:t>
      </w:r>
      <w:r>
        <w:t>ü</w:t>
      </w:r>
      <w:r>
        <w:t>ber den Antrag f</w:t>
      </w:r>
      <w:r>
        <w:t>ü</w:t>
      </w:r>
      <w:r>
        <w:t>r alle Schulen, in deren Bezirk die meisten Schulen gelegen sind, hilfsweise in deren Bezirk die Schule mit der h</w:t>
      </w:r>
      <w:r>
        <w:t>ö</w:t>
      </w:r>
      <w:r>
        <w:t>chsten Sch</w:t>
      </w:r>
      <w:r>
        <w:t>ü</w:t>
      </w:r>
      <w:r>
        <w:t>lerzahl liegt.</w:t>
      </w:r>
    </w:p>
    <w:p w14:paraId="22ACDE92" w14:textId="77777777" w:rsidR="00B13F97" w:rsidRDefault="00B13F97">
      <w:pPr>
        <w:pStyle w:val="RVueberschrift285fz"/>
        <w:keepNext/>
        <w:keepLines/>
      </w:pPr>
      <w:bookmarkStart w:id="5" w:name="10-32nr47p3"/>
      <w:bookmarkEnd w:id="5"/>
      <w:r>
        <w:t>§</w:t>
      </w:r>
      <w:r>
        <w:t xml:space="preserve"> 3 </w:t>
      </w:r>
      <w:r>
        <w:br/>
      </w:r>
      <w:r>
        <w:rPr>
          <w:rFonts w:cs="Calibri"/>
        </w:rPr>
        <w:t>Inkrafttreten</w:t>
      </w:r>
    </w:p>
    <w:p w14:paraId="5CE35530" w14:textId="77777777" w:rsidR="00B13F97" w:rsidRDefault="00B13F97">
      <w:pPr>
        <w:pStyle w:val="RVfliesstext175nb"/>
        <w:widowControl/>
        <w:rPr>
          <w:rFonts w:cs="Calibri"/>
        </w:rPr>
      </w:pPr>
      <w:r>
        <w:rPr>
          <w:rFonts w:cs="Calibri"/>
        </w:rPr>
        <w:t>Die Verordnung tritt am Tag nach ihrer Verk</w:t>
      </w:r>
      <w:r>
        <w:rPr>
          <w:rFonts w:cs="Calibri"/>
        </w:rPr>
        <w:t>ü</w:t>
      </w:r>
      <w:r>
        <w:rPr>
          <w:rFonts w:cs="Calibri"/>
        </w:rPr>
        <w:t>ndung in Kraft</w:t>
      </w:r>
      <w:r>
        <w:rPr>
          <w:rStyle w:val="FootnoteReference"/>
          <w:rFonts w:ascii="Arial" w:hAnsi="Arial" w:cs="Arial"/>
        </w:rPr>
        <w:footnoteReference w:id="2"/>
      </w:r>
      <w:r>
        <w:rPr>
          <w:rFonts w:cs="Calibri"/>
        </w:rPr>
        <w:t>.</w:t>
      </w:r>
      <w:r>
        <w:t xml:space="preserve"> 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E3620" w14:textId="77777777" w:rsidR="00B13F97" w:rsidRDefault="00B13F97">
      <w:pPr>
        <w:widowControl/>
        <w:rPr>
          <w:rFonts w:cs="Calibri"/>
        </w:rPr>
      </w:pPr>
      <w:r>
        <w:separator/>
      </w:r>
    </w:p>
  </w:endnote>
  <w:endnote w:type="continuationSeparator" w:id="0">
    <w:p w14:paraId="47658177" w14:textId="77777777" w:rsidR="00B13F97" w:rsidRDefault="00B13F97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95D2A" w14:textId="77777777" w:rsidR="00B13F97" w:rsidRDefault="00B13F97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83398" w14:textId="77777777" w:rsidR="00B13F97" w:rsidRDefault="00B13F97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C8DAFD4" w14:textId="77777777" w:rsidR="00B13F97" w:rsidRDefault="00B13F97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0E09E466" w14:textId="77777777" w:rsidR="00B13F97" w:rsidRDefault="00B13F97">
      <w:pPr>
        <w:pStyle w:val="RVFudfnote160kb"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/>
          <w:sz w:val="12"/>
        </w:rPr>
        <w:footnoteRef/>
      </w:r>
      <w:bookmarkStart w:id="4" w:name="FN1"/>
      <w:r>
        <w:rPr>
          <w:rFonts w:cs="Calibri"/>
        </w:rPr>
        <w:tab/>
        <w:t>Soweit nich</w:t>
      </w:r>
      <w:bookmarkEnd w:id="4"/>
      <w:r>
        <w:fldChar w:fldCharType="begin"/>
      </w:r>
      <w:r>
        <w:instrText>HYPERLINK \l "3129.fm:13-33nr1.1AnlageEp36a"</w:instrText>
      </w:r>
      <w:r>
        <w:fldChar w:fldCharType="separate"/>
      </w:r>
      <w:r>
        <w:rPr>
          <w:rFonts w:cs="Calibri"/>
        </w:rPr>
        <w:t xml:space="preserve">t </w:t>
      </w:r>
      <w:r>
        <w:t>§</w:t>
      </w:r>
      <w:r>
        <w:rPr>
          <w:rFonts w:cs="Calibri"/>
        </w:rPr>
        <w:t xml:space="preserve"> 36 a APO</w:t>
      </w:r>
      <w:r>
        <w:t>-</w:t>
      </w:r>
      <w:r>
        <w:rPr>
          <w:rFonts w:cs="Calibri"/>
        </w:rPr>
        <w:t xml:space="preserve">BK Anlage E </w:t>
      </w:r>
      <w:r>
        <w:fldChar w:fldCharType="end"/>
      </w:r>
      <w:r>
        <w:t>(</w:t>
      </w:r>
      <w:r>
        <w:rPr>
          <w:rFonts w:cs="Calibri"/>
        </w:rPr>
        <w:t>BASS 13</w:t>
      </w:r>
      <w:r>
        <w:t>-</w:t>
      </w:r>
      <w:r>
        <w:rPr>
          <w:rFonts w:cs="Calibri"/>
        </w:rPr>
        <w:t>33 Nr</w:t>
      </w:r>
      <w:r>
        <w:t>.</w:t>
      </w:r>
      <w:r>
        <w:rPr>
          <w:rFonts w:cs="Calibri"/>
        </w:rPr>
        <w:t xml:space="preserve"> 1</w:t>
      </w:r>
      <w:r>
        <w:t>.</w:t>
      </w:r>
      <w:r>
        <w:rPr>
          <w:rFonts w:cs="Calibri"/>
        </w:rPr>
        <w:t>1 Anlage E</w:t>
      </w:r>
      <w:r>
        <w:t>)</w:t>
      </w:r>
      <w:r>
        <w:rPr>
          <w:rFonts w:cs="Calibri"/>
        </w:rPr>
        <w:t xml:space="preserve"> Anwendung findet</w:t>
      </w:r>
      <w:r>
        <w:t>.</w:t>
      </w:r>
    </w:p>
  </w:footnote>
  <w:footnote w:id="2">
    <w:p w14:paraId="2C8BC452" w14:textId="77777777" w:rsidR="00B13F97" w:rsidRDefault="00B13F97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bookmarkStart w:id="6" w:name="FN2"/>
      <w:r>
        <w:tab/>
      </w:r>
      <w:r>
        <w:t>Das Datum bezieht sich auf das Inkrafttreten der Verordnung in der urspr</w:t>
      </w:r>
      <w:r>
        <w:t>ü</w:t>
      </w:r>
      <w:r>
        <w:t>nglichen Fas</w:t>
      </w:r>
      <w:bookmarkEnd w:id="6"/>
      <w:r>
        <w:rPr>
          <w:rFonts w:cs="Calibri"/>
        </w:rPr>
        <w:t>sung</w:t>
      </w:r>
      <w:r>
        <w:t>;</w:t>
      </w:r>
      <w:r>
        <w:rPr>
          <w:rFonts w:cs="Calibri"/>
        </w:rPr>
        <w:t xml:space="preserve"> die zuletzt ge</w:t>
      </w:r>
      <w:r>
        <w:rPr>
          <w:rFonts w:cs="Calibri"/>
        </w:rPr>
        <w:t>ä</w:t>
      </w:r>
      <w:r>
        <w:rPr>
          <w:rFonts w:cs="Calibri"/>
        </w:rPr>
        <w:t>nderte Fassung ist mit Datum vom 21</w:t>
      </w:r>
      <w:r>
        <w:t>.</w:t>
      </w:r>
      <w:r>
        <w:rPr>
          <w:rFonts w:cs="Calibri"/>
        </w:rPr>
        <w:t>12</w:t>
      </w:r>
      <w:r>
        <w:t>.</w:t>
      </w:r>
      <w:r>
        <w:rPr>
          <w:rFonts w:cs="Calibri"/>
        </w:rPr>
        <w:t xml:space="preserve">2021 </w:t>
      </w:r>
      <w:r>
        <w:t>(</w:t>
      </w:r>
      <w:r>
        <w:rPr>
          <w:rFonts w:cs="Calibri"/>
        </w:rPr>
        <w:t>GV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1428</w:t>
      </w:r>
      <w:r>
        <w:t>)</w:t>
      </w:r>
      <w:r>
        <w:rPr>
          <w:rFonts w:cs="Calibri"/>
        </w:rPr>
        <w:t xml:space="preserve"> in Kraft</w:t>
      </w:r>
      <w:r>
        <w:t>.</w:t>
      </w:r>
      <w:r>
        <w:rPr>
          <w:rFonts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A7269"/>
    <w:rsid w:val="00A339FA"/>
    <w:rsid w:val="00B13F97"/>
    <w:rsid w:val="00CA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37D35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jure.org/gesetze/DSGVO/3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043.htm#1-1p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5620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2024-09-10T02:13:00Z</dcterms:created>
  <dcterms:modified xsi:type="dcterms:W3CDTF">2024-09-10T02:13:00Z</dcterms:modified>
</cp:coreProperties>
</file>