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5DC3D" w14:textId="77777777" w:rsidR="00AB5906" w:rsidRDefault="00AB5906">
      <w:pPr>
        <w:pStyle w:val="Bass-Nr"/>
      </w:pPr>
      <w:bookmarkStart w:id="0" w:name="0-1"/>
      <w:bookmarkEnd w:id="0"/>
      <w:r>
        <w:t>0-1</w:t>
      </w:r>
    </w:p>
    <w:p w14:paraId="773F063E" w14:textId="77777777" w:rsidR="00AB5906" w:rsidRDefault="00AB5906">
      <w:pPr>
        <w:pStyle w:val="RVueberschrift1100fz"/>
      </w:pPr>
      <w:hyperlink r:id="rId6" w:history="1">
        <w:bookmarkStart w:id="1" w:name="0-1_Kopie_1"/>
        <w:bookmarkEnd w:id="1"/>
        <w:r>
          <w:t>Grund</w:t>
        </w:r>
        <w:r>
          <w:t>gesetz</w:t>
        </w:r>
      </w:hyperlink>
      <w:r>
        <w:t xml:space="preserve"> </w:t>
      </w:r>
      <w:r>
        <w:br/>
        <w:t>f</w:t>
      </w:r>
      <w:r>
        <w:t>ü</w:t>
      </w:r>
      <w:r>
        <w:t xml:space="preserve">r die </w:t>
      </w:r>
      <w:r>
        <w:br/>
        <w:t>Bundesrepublik Deutschland</w:t>
      </w:r>
    </w:p>
    <w:p w14:paraId="47DF82EA" w14:textId="77777777" w:rsidR="00AB5906" w:rsidRDefault="00AB5906">
      <w:pPr>
        <w:pStyle w:val="RVueberschrift285nz"/>
      </w:pPr>
      <w:r>
        <w:t xml:space="preserve">Vom 23. Mai 1949 </w:t>
      </w:r>
      <w:r>
        <w:br/>
        <w:t xml:space="preserve">(BGBl. I S. 1) </w:t>
      </w:r>
      <w:r>
        <w:br/>
        <w:t>zuletzt ge</w:t>
      </w:r>
      <w:r>
        <w:t>ä</w:t>
      </w:r>
      <w:r>
        <w:t>ndert durch Gesetz vom 19. Dezember 2022</w:t>
      </w:r>
      <w:r>
        <w:br/>
        <w:t>(BGBl. I S. 2478)</w:t>
      </w:r>
    </w:p>
    <w:p w14:paraId="64AE37BA" w14:textId="77777777" w:rsidR="00AB5906" w:rsidRDefault="00AB5906">
      <w:pPr>
        <w:pStyle w:val="RVueberschrift285fz"/>
      </w:pPr>
      <w:r>
        <w:t>- Auszug -</w:t>
      </w:r>
    </w:p>
    <w:p w14:paraId="0A9CC9EB" w14:textId="77777777" w:rsidR="00AB5906" w:rsidRDefault="00AB5906">
      <w:pPr>
        <w:pStyle w:val="RVueberschrift285fz"/>
      </w:pPr>
      <w:bookmarkStart w:id="2" w:name="0-1Art7"/>
      <w:bookmarkEnd w:id="2"/>
      <w:r>
        <w:t xml:space="preserve">Artikel 7 </w:t>
      </w:r>
      <w:r>
        <w:br/>
        <w:t>(Schulwesen)</w:t>
      </w:r>
    </w:p>
    <w:p w14:paraId="3BFAECB3" w14:textId="77777777" w:rsidR="00AB5906" w:rsidRDefault="00AB5906">
      <w:pPr>
        <w:pStyle w:val="RVfliesstext175nb"/>
      </w:pPr>
      <w:bookmarkStart w:id="3" w:name="0-1p7(1)"/>
      <w:bookmarkEnd w:id="3"/>
      <w:r>
        <w:t xml:space="preserve">(1) </w:t>
      </w:r>
      <w:bookmarkStart w:id="4" w:name="0-1a7(1)"/>
      <w:bookmarkEnd w:id="4"/>
      <w:r>
        <w:t>Das gesamte Schulwesen steht unter der Aufsicht des Staates.</w:t>
      </w:r>
    </w:p>
    <w:p w14:paraId="24576EF0" w14:textId="77777777" w:rsidR="00AB5906" w:rsidRDefault="00AB5906">
      <w:pPr>
        <w:pStyle w:val="RVfliesstext175nb"/>
      </w:pPr>
      <w:bookmarkStart w:id="5" w:name="0-1p7(2)"/>
      <w:bookmarkEnd w:id="5"/>
      <w:r>
        <w:t xml:space="preserve">(2) Die Erziehungsberechtigten haben das Recht, </w:t>
      </w:r>
      <w:r>
        <w:t>ü</w:t>
      </w:r>
      <w:r>
        <w:t xml:space="preserve">ber die Teilnahme des </w:t>
      </w:r>
      <w:r>
        <w:t>Kindes am Religionsunterricht zu bestimmen.</w:t>
      </w:r>
    </w:p>
    <w:p w14:paraId="4947B3D8" w14:textId="77777777" w:rsidR="00AB5906" w:rsidRDefault="00AB5906">
      <w:pPr>
        <w:pStyle w:val="RVfliesstext175nb"/>
      </w:pPr>
      <w:bookmarkStart w:id="6" w:name="0-1p7(3)"/>
      <w:bookmarkEnd w:id="6"/>
      <w:r>
        <w:t>(3)</w:t>
      </w:r>
      <w:bookmarkStart w:id="7" w:name="0-1a7(3)"/>
      <w:bookmarkEnd w:id="7"/>
      <w:r>
        <w:t xml:space="preserve"> Der Religionsunterricht ist in den </w:t>
      </w:r>
      <w:r>
        <w:t>ö</w:t>
      </w:r>
      <w:r>
        <w:t xml:space="preserve">ffentlichen Schulen mit Ausnahme </w:t>
      </w:r>
      <w:r>
        <w:t xml:space="preserve">der bekenntnisfreien Schulen ordentliches Lehrfach. Unbeschadet des staatlichen Aufsichtsrechtes wird der Religionsunterricht in </w:t>
      </w:r>
      <w:r>
        <w:t>Ü</w:t>
      </w:r>
      <w:r>
        <w:t>bereinstimmung mit den Grunds</w:t>
      </w:r>
      <w:r>
        <w:t>ä</w:t>
      </w:r>
      <w:r>
        <w:t>tzen der Religionsgemeinschaften erteilt. Kein Lehrer darf gegen seinen Willen verpflichtet werden, Religionsunterricht zu erteilen.</w:t>
      </w:r>
    </w:p>
    <w:p w14:paraId="5ECB4A52" w14:textId="77777777" w:rsidR="00AB5906" w:rsidRDefault="00AB5906">
      <w:pPr>
        <w:pStyle w:val="RVfliesstext175nb"/>
      </w:pPr>
      <w:bookmarkStart w:id="8" w:name="0-1p7(4)"/>
      <w:bookmarkEnd w:id="8"/>
      <w:r>
        <w:t>(4)</w:t>
      </w:r>
      <w:bookmarkStart w:id="9" w:name="0-1p7(4)_Kopie_1"/>
      <w:bookmarkEnd w:id="9"/>
      <w:r>
        <w:t xml:space="preserve"> Das</w:t>
      </w:r>
      <w:bookmarkStart w:id="10" w:name="0-1a7(4)"/>
      <w:bookmarkEnd w:id="10"/>
      <w:r>
        <w:t xml:space="preserve"> Recht zur Errichtung von privaten Schulen wird gew</w:t>
      </w:r>
      <w:r>
        <w:t>ä</w:t>
      </w:r>
      <w:r>
        <w:t>hrleistet. Pri</w:t>
      </w:r>
      <w:r>
        <w:t>vate Schulen als Ersatz f</w:t>
      </w:r>
      <w:r>
        <w:t>ü</w:t>
      </w:r>
      <w:r>
        <w:t xml:space="preserve">r </w:t>
      </w:r>
      <w:r>
        <w:t>ö</w:t>
      </w:r>
      <w:r>
        <w:t>ffentliche Schulen bed</w:t>
      </w:r>
      <w:r>
        <w:t>ü</w:t>
      </w:r>
      <w:r>
        <w:t xml:space="preserve">rfen der Genehmigung </w:t>
      </w:r>
      <w:bookmarkStart w:id="11" w:name="0-1p7(4)sa2"/>
      <w:bookmarkEnd w:id="11"/>
      <w:r>
        <w:t xml:space="preserve">des Staates und unterstehen den Landesgesetzen. Die Genehmigung ist </w:t>
      </w:r>
      <w:r>
        <w:t>zu erteilen, wenn die privaten Schulen in ihren Lehrzielen und Einrichtungen sowie in der wissenschaftlichen Ausbildung ihrer Lehrkr</w:t>
      </w:r>
      <w:r>
        <w:t>ä</w:t>
      </w:r>
      <w:r>
        <w:t xml:space="preserve">fte nicht hinter den </w:t>
      </w:r>
      <w:r>
        <w:t>ö</w:t>
      </w:r>
      <w:r>
        <w:t>ffentlichen Schulen zur</w:t>
      </w:r>
      <w:r>
        <w:t>ü</w:t>
      </w:r>
      <w:r>
        <w:t>ckstehen und eine Sonderung der Sch</w:t>
      </w:r>
      <w:r>
        <w:t>ü</w:t>
      </w:r>
      <w:r>
        <w:t>ler nach den Besitzverh</w:t>
      </w:r>
      <w:r>
        <w:t>ä</w:t>
      </w:r>
      <w:r>
        <w:t>ltnissen der Eltern nicht gef</w:t>
      </w:r>
      <w:r>
        <w:t>ö</w:t>
      </w:r>
      <w:r>
        <w:t>rdert wird. Die Genehmigung ist zu versagen, wenn die wirtschaftliche und rechtliche Stellung der Lehrkr</w:t>
      </w:r>
      <w:r>
        <w:t>ä</w:t>
      </w:r>
      <w:r>
        <w:t>fte nicht gen</w:t>
      </w:r>
      <w:r>
        <w:t>ü</w:t>
      </w:r>
      <w:r>
        <w:t>gend gesichert ist.</w:t>
      </w:r>
    </w:p>
    <w:p w14:paraId="37EF185C" w14:textId="77777777" w:rsidR="00AB5906" w:rsidRDefault="00AB5906">
      <w:pPr>
        <w:pStyle w:val="RVfliesstext175nb"/>
      </w:pPr>
      <w:bookmarkStart w:id="12" w:name="0-1p7(5)"/>
      <w:bookmarkEnd w:id="12"/>
      <w:r>
        <w:t xml:space="preserve">(5) </w:t>
      </w:r>
      <w:bookmarkStart w:id="13" w:name="0-1a7(5)"/>
      <w:bookmarkEnd w:id="13"/>
      <w:r>
        <w:t>Eine private Volksschule ist nur zuzulassen, wenn die Unterrichtsver</w:t>
      </w:r>
      <w:r>
        <w:t>waltung ein besonderes p</w:t>
      </w:r>
      <w:r>
        <w:t>ä</w:t>
      </w:r>
      <w:r>
        <w:t xml:space="preserve">dagogisches Interesse anerkennt oder, auf Antrag von Erziehungsberechtigten, wenn sie als Gemeinschaftsschule, als Bekenntnis- oder Weltanschauungsschule errichtet werden soll und eine </w:t>
      </w:r>
      <w:r>
        <w:t>ö</w:t>
      </w:r>
      <w:r>
        <w:t>ffentliche Volksschule dieser Art in der Gemeinde nicht besteht.</w:t>
      </w:r>
    </w:p>
    <w:p w14:paraId="6A8662D4" w14:textId="77777777" w:rsidR="00AB5906" w:rsidRDefault="00AB5906">
      <w:pPr>
        <w:pStyle w:val="RVfliesstext175nb"/>
      </w:pPr>
      <w:bookmarkStart w:id="14" w:name="0-1p7(6)"/>
      <w:bookmarkEnd w:id="14"/>
      <w:r>
        <w:t>(6) Vorschulen bleiben aufgehoben.</w:t>
      </w:r>
    </w:p>
    <w:p w14:paraId="408A3DF3" w14:textId="77777777" w:rsidR="00AB5906" w:rsidRDefault="00AB5906">
      <w:pPr>
        <w:pStyle w:val="RVfliesstext175nb"/>
      </w:pPr>
    </w:p>
    <w:sectPr w:rsidR="00000000">
      <w:footerReference w:type="default" r:id="rId7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E9024" w14:textId="77777777" w:rsidR="00AB5906" w:rsidRDefault="00AB5906">
      <w:r>
        <w:separator/>
      </w:r>
    </w:p>
  </w:endnote>
  <w:endnote w:type="continuationSeparator" w:id="0">
    <w:p w14:paraId="66C15868" w14:textId="77777777" w:rsidR="00AB5906" w:rsidRDefault="00AB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82214" w14:textId="77777777" w:rsidR="00AB5906" w:rsidRDefault="00AB59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E0064" w14:textId="77777777" w:rsidR="00AB5906" w:rsidRDefault="00AB5906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41A60B95" w14:textId="77777777" w:rsidR="00AB5906" w:rsidRDefault="00AB5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93C1F"/>
    <w:rsid w:val="00A339FA"/>
    <w:rsid w:val="00AB5906"/>
    <w:rsid w:val="00C9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72A9D1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">
    <w:name w:val="blau"/>
    <w:uiPriority w:val="99"/>
    <w:rPr>
      <w:color w:val="000000"/>
      <w:sz w:val="22"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22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22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character" w:styleId="Fett">
    <w:name w:val="Strong"/>
    <w:basedOn w:val="Absatz-Standardschriftart"/>
    <w:uiPriority w:val="99"/>
    <w:qFormat/>
    <w:rPr>
      <w:b/>
      <w:bCs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keepNext/>
      <w:tabs>
        <w:tab w:val="left" w:pos="104"/>
      </w:tabs>
      <w:autoSpaceDE w:val="0"/>
      <w:autoSpaceDN w:val="0"/>
      <w:adjustRightInd w:val="0"/>
      <w:spacing w:before="6" w:after="6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setze-im-internet.de/gg/BJNR000010949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2024-09-10T02:11:00Z</dcterms:created>
  <dcterms:modified xsi:type="dcterms:W3CDTF">2024-09-10T02:11:00Z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