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EB5F2" w14:textId="77777777" w:rsidR="005B1F3B" w:rsidRDefault="005B1F3B">
      <w:pPr>
        <w:pStyle w:val="Bass-Nr"/>
        <w:keepNext/>
        <w:rPr>
          <w:rFonts w:cs="Calibri"/>
        </w:rPr>
      </w:pPr>
      <w:r>
        <w:t>21-31 Nr. 1</w:t>
      </w:r>
    </w:p>
    <w:p w14:paraId="0806D457" w14:textId="77777777" w:rsidR="005B1F3B" w:rsidRDefault="005B1F3B">
      <w:pPr>
        <w:pStyle w:val="RVueberschrift1100fz"/>
        <w:keepNext/>
        <w:keepLines/>
      </w:pPr>
      <w:bookmarkStart w:id="0" w:name="21-31nr1"/>
      <w:bookmarkEnd w:id="0"/>
      <w:r>
        <w:t>Durchf</w:t>
      </w:r>
      <w:r>
        <w:t>ü</w:t>
      </w:r>
      <w:r>
        <w:t xml:space="preserve">hrung </w:t>
      </w:r>
      <w:r>
        <w:rPr>
          <w:rFonts w:cs="Calibri"/>
        </w:rPr>
        <w:br/>
        <w:t>des Landespersonalvertretungsgesetzes (LPVG)</w:t>
      </w:r>
    </w:p>
    <w:p w14:paraId="090CD5C4" w14:textId="77777777" w:rsidR="005B1F3B" w:rsidRDefault="005B1F3B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Kultusministeriums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27</w:t>
      </w:r>
      <w:r>
        <w:t>.</w:t>
      </w:r>
      <w:r>
        <w:rPr>
          <w:rFonts w:cs="Calibri"/>
        </w:rPr>
        <w:t>12</w:t>
      </w:r>
      <w:r>
        <w:t>.</w:t>
      </w:r>
      <w:r>
        <w:rPr>
          <w:rFonts w:cs="Calibri"/>
        </w:rPr>
        <w:t xml:space="preserve">1989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1990 S</w:t>
      </w:r>
      <w:r>
        <w:t>.</w:t>
      </w:r>
      <w:r>
        <w:rPr>
          <w:rFonts w:cs="Calibri"/>
        </w:rPr>
        <w:t xml:space="preserve"> 78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4C71709B" w14:textId="77777777" w:rsidR="005B1F3B" w:rsidRDefault="005B1F3B">
      <w:pPr>
        <w:pStyle w:val="RVfliesstext175nb"/>
        <w:widowControl/>
      </w:pPr>
      <w:r>
        <w:rPr>
          <w:rFonts w:cs="Arial"/>
        </w:rPr>
        <w:t>Der Runderlass des Ministeriums f</w:t>
      </w:r>
      <w:r>
        <w:rPr>
          <w:rFonts w:cs="Arial"/>
        </w:rPr>
        <w:t>ü</w:t>
      </w:r>
      <w:r>
        <w:rPr>
          <w:rFonts w:cs="Arial"/>
        </w:rPr>
        <w:t>r Inneres und Kommunales zur Durchf</w:t>
      </w:r>
      <w:r>
        <w:rPr>
          <w:rFonts w:cs="Arial"/>
        </w:rPr>
        <w:t>ü</w:t>
      </w:r>
      <w:r>
        <w:rPr>
          <w:rFonts w:cs="Arial"/>
        </w:rPr>
        <w:t xml:space="preserve">hrung des </w:t>
      </w:r>
      <w:hyperlink r:id="rId7" w:history="1">
        <w:r>
          <w:rPr>
            <w:rFonts w:cs="Arial"/>
          </w:rPr>
          <w:t>Landespersonalvertretungs</w:t>
        </w:r>
      </w:hyperlink>
      <w:r>
        <w:t>gesetzes</w:t>
      </w:r>
      <w:r>
        <w:rPr>
          <w:rFonts w:cs="Arial"/>
        </w:rPr>
        <w:t xml:space="preserve"> vom 14.03.2013 (SMBl. NRW. 2035) ist zu beachten.</w:t>
      </w:r>
    </w:p>
    <w:p w14:paraId="36F9D130" w14:textId="77777777" w:rsidR="005B1F3B" w:rsidRDefault="005B1F3B">
      <w:pPr>
        <w:pStyle w:val="RVfliesstext175nb"/>
        <w:widowControl/>
      </w:pPr>
      <w:r>
        <w:rPr>
          <w:rFonts w:cs="Arial"/>
        </w:rPr>
        <w:t>Zur Durchf</w:t>
      </w:r>
      <w:r>
        <w:rPr>
          <w:rFonts w:cs="Arial"/>
        </w:rPr>
        <w:t>ü</w:t>
      </w:r>
      <w:r>
        <w:rPr>
          <w:rFonts w:cs="Arial"/>
        </w:rPr>
        <w:t xml:space="preserve">hrung des </w:t>
      </w:r>
      <w:hyperlink r:id="rId8" w:history="1">
        <w:r>
          <w:rPr>
            <w:rFonts w:cs="Arial"/>
          </w:rPr>
          <w:t>LPV</w:t>
        </w:r>
      </w:hyperlink>
      <w:r>
        <w:t>G</w:t>
      </w:r>
      <w:r>
        <w:rPr>
          <w:rFonts w:cs="Arial"/>
        </w:rPr>
        <w:t xml:space="preserve"> werden f</w:t>
      </w:r>
      <w:r>
        <w:rPr>
          <w:rFonts w:cs="Arial"/>
        </w:rPr>
        <w:t>ü</w:t>
      </w:r>
      <w:r>
        <w:rPr>
          <w:rFonts w:cs="Arial"/>
        </w:rPr>
        <w:t>r den Gesch</w:t>
      </w:r>
      <w:r>
        <w:rPr>
          <w:rFonts w:cs="Arial"/>
        </w:rPr>
        <w:t>ä</w:t>
      </w:r>
      <w:r>
        <w:rPr>
          <w:rFonts w:cs="Arial"/>
        </w:rPr>
        <w:t>ftsbereich des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i/>
        </w:rPr>
        <w:t>(jetzt: des Ministeriums f</w:t>
      </w:r>
      <w:r>
        <w:rPr>
          <w:i/>
        </w:rPr>
        <w:t>ü</w:t>
      </w:r>
      <w:r>
        <w:rPr>
          <w:i/>
        </w:rPr>
        <w:t>r Schule und Bildung)</w:t>
      </w:r>
      <w:r>
        <w:rPr>
          <w:rFonts w:cs="Arial"/>
        </w:rPr>
        <w:t xml:space="preserve"> folgende erg</w:t>
      </w:r>
      <w:r>
        <w:rPr>
          <w:rFonts w:cs="Arial"/>
        </w:rPr>
        <w:t>ä</w:t>
      </w:r>
      <w:r>
        <w:rPr>
          <w:rFonts w:cs="Arial"/>
        </w:rPr>
        <w:t>nzende und erl</w:t>
      </w:r>
      <w:r>
        <w:rPr>
          <w:rFonts w:cs="Arial"/>
        </w:rPr>
        <w:t>ä</w:t>
      </w:r>
      <w:r>
        <w:rPr>
          <w:rFonts w:cs="Arial"/>
        </w:rPr>
        <w:t>uternde Hinweise gegeben:</w:t>
      </w:r>
    </w:p>
    <w:p w14:paraId="28DAE0FA" w14:textId="77777777" w:rsidR="005B1F3B" w:rsidRDefault="005B1F3B">
      <w:pPr>
        <w:pStyle w:val="RVueberschrift285fz"/>
        <w:keepNext/>
        <w:keepLines/>
      </w:pPr>
      <w:r>
        <w:rPr>
          <w:rFonts w:cs="Arial"/>
        </w:rPr>
        <w:t xml:space="preserve">1 Personalversammlungen </w:t>
      </w:r>
      <w:r>
        <w:rPr>
          <w:rFonts w:cs="Arial"/>
        </w:rPr>
        <w:br/>
        <w:t xml:space="preserve">     (</w:t>
      </w:r>
      <w:r>
        <w:rPr>
          <w:rFonts w:cs="Arial"/>
        </w:rPr>
        <w:t>§§</w:t>
      </w:r>
      <w:r>
        <w:rPr>
          <w:rFonts w:cs="Arial"/>
        </w:rPr>
        <w:t xml:space="preserve"> 45 - 47)</w:t>
      </w:r>
    </w:p>
    <w:p w14:paraId="6FF595AF" w14:textId="77777777" w:rsidR="005B1F3B" w:rsidRDefault="005B1F3B">
      <w:pPr>
        <w:pStyle w:val="RVfliesstext175nb"/>
        <w:widowControl/>
      </w:pPr>
      <w:r>
        <w:rPr>
          <w:rFonts w:cs="Arial"/>
        </w:rPr>
        <w:t>Jeder Besch</w:t>
      </w:r>
      <w:r>
        <w:rPr>
          <w:rFonts w:cs="Arial"/>
        </w:rPr>
        <w:t>ä</w:t>
      </w:r>
      <w:r>
        <w:rPr>
          <w:rFonts w:cs="Arial"/>
        </w:rPr>
        <w:t>ftigte hat einen Anspruch auf Teilnahme an der Personalversammlung. Hierf</w:t>
      </w:r>
      <w:r>
        <w:rPr>
          <w:rFonts w:cs="Arial"/>
        </w:rPr>
        <w:t>ü</w:t>
      </w:r>
      <w:r>
        <w:rPr>
          <w:rFonts w:cs="Arial"/>
        </w:rPr>
        <w:t>r ist der Termin rechtzeitig bekanntzugeben.</w:t>
      </w:r>
    </w:p>
    <w:p w14:paraId="3B7C43A0" w14:textId="77777777" w:rsidR="005B1F3B" w:rsidRDefault="005B1F3B">
      <w:pPr>
        <w:pStyle w:val="RVfliesstext175nb"/>
        <w:widowControl/>
      </w:pPr>
      <w:r>
        <w:rPr>
          <w:rFonts w:cs="Arial"/>
        </w:rPr>
        <w:t>Personalversammlungen der Lehrkr</w:t>
      </w:r>
      <w:r>
        <w:rPr>
          <w:rFonts w:cs="Arial"/>
        </w:rPr>
        <w:t>ä</w:t>
      </w:r>
      <w:r>
        <w:rPr>
          <w:rFonts w:cs="Arial"/>
        </w:rPr>
        <w:t>fte sind grunds</w:t>
      </w:r>
      <w:r>
        <w:rPr>
          <w:rFonts w:cs="Arial"/>
        </w:rPr>
        <w:t>ä</w:t>
      </w:r>
      <w:r>
        <w:rPr>
          <w:rFonts w:cs="Arial"/>
        </w:rPr>
        <w:t>tzlich au</w:t>
      </w:r>
      <w:r>
        <w:rPr>
          <w:rFonts w:cs="Arial"/>
        </w:rPr>
        <w:t>ß</w:t>
      </w:r>
      <w:r>
        <w:rPr>
          <w:rFonts w:cs="Arial"/>
        </w:rPr>
        <w:t>erhalb des f</w:t>
      </w:r>
      <w:r>
        <w:rPr>
          <w:rFonts w:cs="Arial"/>
        </w:rPr>
        <w:t>ü</w:t>
      </w:r>
      <w:r>
        <w:rPr>
          <w:rFonts w:cs="Arial"/>
        </w:rPr>
        <w:t xml:space="preserve">r die jeweilige Schulform </w:t>
      </w:r>
      <w:r>
        <w:rPr>
          <w:rFonts w:cs="Arial"/>
        </w:rPr>
        <w:t>ü</w:t>
      </w:r>
      <w:r>
        <w:rPr>
          <w:rFonts w:cs="Arial"/>
        </w:rPr>
        <w:t>blichen Vormittagsunterrichts abzuhalten. Die Dauer der Anreise und der R</w:t>
      </w:r>
      <w:r>
        <w:rPr>
          <w:rFonts w:cs="Arial"/>
        </w:rPr>
        <w:t>ü</w:t>
      </w:r>
      <w:r>
        <w:rPr>
          <w:rFonts w:cs="Arial"/>
        </w:rPr>
        <w:t>ckreise der Teilnehmerinnen und Teilnehmer ist zu ber</w:t>
      </w:r>
      <w:r>
        <w:rPr>
          <w:rFonts w:cs="Arial"/>
        </w:rPr>
        <w:t>ü</w:t>
      </w:r>
      <w:r>
        <w:rPr>
          <w:rFonts w:cs="Arial"/>
        </w:rPr>
        <w:t>cksichtigen. Dies kann unterschiedliche Unterrichtsausfallzeiten zur Folge haben.</w:t>
      </w:r>
    </w:p>
    <w:p w14:paraId="293B1E14" w14:textId="77777777" w:rsidR="005B1F3B" w:rsidRDefault="005B1F3B">
      <w:pPr>
        <w:pStyle w:val="RVueberschrift285fz"/>
        <w:keepNext/>
        <w:keepLines/>
      </w:pPr>
      <w:r>
        <w:rPr>
          <w:rFonts w:cs="Arial"/>
        </w:rPr>
        <w:t xml:space="preserve">2 Versetzungen von Lehrerinnen und Lehrern in den </w:t>
      </w:r>
      <w:r>
        <w:rPr>
          <w:rFonts w:cs="Arial"/>
        </w:rPr>
        <w:br/>
        <w:t xml:space="preserve">Landesdienst, Abordnungen </w:t>
      </w:r>
      <w:r>
        <w:rPr>
          <w:rFonts w:cs="Arial"/>
        </w:rPr>
        <w:br/>
        <w:t>(</w:t>
      </w:r>
      <w:r>
        <w:rPr>
          <w:rFonts w:cs="Arial"/>
        </w:rPr>
        <w:t>§</w:t>
      </w:r>
      <w:r>
        <w:rPr>
          <w:rFonts w:cs="Arial"/>
        </w:rPr>
        <w:t xml:space="preserve"> 72 Abs. 1 Satz 1 Nr. 5 und 6)</w:t>
      </w:r>
    </w:p>
    <w:p w14:paraId="5BFDADA5" w14:textId="77777777" w:rsidR="005B1F3B" w:rsidRDefault="005B1F3B">
      <w:pPr>
        <w:pStyle w:val="RVfliesstext175nb"/>
        <w:widowControl/>
        <w:rPr>
          <w:rFonts w:cs="Arial"/>
        </w:rPr>
      </w:pPr>
      <w:r>
        <w:rPr>
          <w:rFonts w:cs="Arial"/>
        </w:rPr>
        <w:t>Bei einer Versetzung, die mit einem Wechsel von einem anderen Dienstherrn in den Landesdienst verbunden ist, hat der Personalrat bei derjenigen aufnehmenden Dienststelle mitzubestimmen, die f</w:t>
      </w:r>
      <w:r>
        <w:rPr>
          <w:rFonts w:cs="Arial"/>
        </w:rPr>
        <w:t>ü</w:t>
      </w:r>
      <w:r>
        <w:rPr>
          <w:rFonts w:cs="Arial"/>
        </w:rPr>
        <w:t>r die Erkl</w:t>
      </w:r>
      <w:r>
        <w:rPr>
          <w:rFonts w:cs="Arial"/>
        </w:rPr>
        <w:t>ä</w:t>
      </w:r>
      <w:r>
        <w:rPr>
          <w:rFonts w:cs="Arial"/>
        </w:rPr>
        <w:t>rung des Einverst</w:t>
      </w:r>
      <w:r>
        <w:rPr>
          <w:rFonts w:cs="Arial"/>
        </w:rPr>
        <w:t>ä</w:t>
      </w:r>
      <w:r>
        <w:rPr>
          <w:rFonts w:cs="Arial"/>
        </w:rPr>
        <w:t>ndnisses des neuen Dienstherrn zust</w:t>
      </w:r>
      <w:r>
        <w:rPr>
          <w:rFonts w:cs="Arial"/>
        </w:rPr>
        <w:t>ä</w:t>
      </w:r>
      <w:r>
        <w:rPr>
          <w:rFonts w:cs="Arial"/>
        </w:rPr>
        <w:t xml:space="preserve">ndig ist. Soweit nach der Verordnung </w:t>
      </w:r>
      <w:r>
        <w:rPr>
          <w:rFonts w:cs="Arial"/>
        </w:rPr>
        <w:t>ü</w:t>
      </w:r>
      <w:r>
        <w:rPr>
          <w:rFonts w:cs="Arial"/>
        </w:rPr>
        <w:t>ber beamtenrechtliche und disziplinarische Zust</w:t>
      </w:r>
      <w:r>
        <w:rPr>
          <w:rFonts w:cs="Arial"/>
        </w:rPr>
        <w:t>ä</w:t>
      </w:r>
      <w:r>
        <w:rPr>
          <w:rFonts w:cs="Arial"/>
        </w:rPr>
        <w:t>ndigkeiten im Gesch</w:t>
      </w:r>
      <w:r>
        <w:rPr>
          <w:rFonts w:cs="Arial"/>
        </w:rPr>
        <w:t>ä</w:t>
      </w:r>
      <w:r>
        <w:rPr>
          <w:rFonts w:cs="Arial"/>
        </w:rPr>
        <w:t>ftsbereich des f</w:t>
      </w:r>
      <w:r>
        <w:rPr>
          <w:rFonts w:cs="Arial"/>
        </w:rPr>
        <w:t>ü</w:t>
      </w:r>
      <w:r>
        <w:rPr>
          <w:rFonts w:cs="Arial"/>
        </w:rPr>
        <w:t>r den Schulbereich in Nordrhein-Westfalen zust</w:t>
      </w:r>
      <w:r>
        <w:rPr>
          <w:rFonts w:cs="Arial"/>
        </w:rPr>
        <w:t>ä</w:t>
      </w:r>
      <w:r>
        <w:rPr>
          <w:rFonts w:cs="Arial"/>
        </w:rPr>
        <w:t xml:space="preserve">ndigen Ministeriums vom 23. August 2018 </w:t>
      </w:r>
      <w:hyperlink w:anchor="https://bass.schul-welt.de/76.htm#10-32nr44" w:history="1">
        <w:r>
          <w:rPr>
            <w:rFonts w:cs="Arial"/>
          </w:rPr>
          <w:t>(BASS 10-32 Nr. 44)</w:t>
        </w:r>
      </w:hyperlink>
      <w:r>
        <w:t xml:space="preserve"> die Bezirksregierungen f</w:t>
      </w:r>
      <w:r>
        <w:t>ü</w:t>
      </w:r>
      <w:r>
        <w:t>r die Erkl</w:t>
      </w:r>
      <w:r>
        <w:t>ä</w:t>
      </w:r>
      <w:r>
        <w:t>rung des Einverst</w:t>
      </w:r>
      <w:r>
        <w:t>ä</w:t>
      </w:r>
      <w:r>
        <w:t>ndnisses zu einer Versetzung in den Landesdienst zust</w:t>
      </w:r>
      <w:r>
        <w:t>ä</w:t>
      </w:r>
      <w:r>
        <w:t>ndig sind, sind die f</w:t>
      </w:r>
      <w:r>
        <w:t>ü</w:t>
      </w:r>
      <w:r>
        <w:t>r die jeweilige Schulform zust</w:t>
      </w:r>
      <w:r>
        <w:t>ä</w:t>
      </w:r>
      <w:r>
        <w:t>ndigen Personalr</w:t>
      </w:r>
      <w:r>
        <w:t>ä</w:t>
      </w:r>
      <w:r>
        <w:t>te bzw. Bezirkspersonalr</w:t>
      </w:r>
      <w:r>
        <w:t>ä</w:t>
      </w:r>
      <w:r>
        <w:t xml:space="preserve">te bei den Bezirksregierungen zu beteiligen. </w:t>
      </w:r>
      <w:r>
        <w:t>§</w:t>
      </w:r>
      <w:r>
        <w:t xml:space="preserve"> 91 Abs. 2 </w:t>
      </w:r>
      <w:hyperlink r:id="rId9" w:history="1">
        <w:r>
          <w:t>LPV</w:t>
        </w:r>
      </w:hyperlink>
      <w:r>
        <w:rPr>
          <w:rFonts w:cs="Arial"/>
        </w:rPr>
        <w:t>G</w:t>
      </w:r>
      <w:r>
        <w:t xml:space="preserve"> findet in diesen F</w:t>
      </w:r>
      <w:r>
        <w:t>ä</w:t>
      </w:r>
      <w:r>
        <w:t>llen keine Anwendung.</w:t>
      </w:r>
    </w:p>
    <w:p w14:paraId="2DFB7E9D" w14:textId="77777777" w:rsidR="005B1F3B" w:rsidRDefault="005B1F3B">
      <w:pPr>
        <w:pStyle w:val="RVfliesstext175nb"/>
        <w:widowControl/>
        <w:rPr>
          <w:rFonts w:cs="Arial"/>
        </w:rPr>
      </w:pPr>
      <w:r>
        <w:t>Das Verfahren gem</w:t>
      </w:r>
      <w:r>
        <w:t>äß</w:t>
      </w:r>
      <w:r>
        <w:t xml:space="preserve"> </w:t>
      </w:r>
      <w:r>
        <w:t>§</w:t>
      </w:r>
      <w:r>
        <w:t xml:space="preserve"> 91 Abs. 2 </w:t>
      </w:r>
      <w:hyperlink r:id="rId10" w:history="1">
        <w:r>
          <w:t>LPV</w:t>
        </w:r>
      </w:hyperlink>
      <w:r>
        <w:rPr>
          <w:rFonts w:cs="Arial"/>
        </w:rPr>
        <w:t>G</w:t>
      </w:r>
      <w:r>
        <w:t xml:space="preserve"> gilt auch bei beteiligungspflichtigen Abordnungen von Lehrerinnen und Lehrern an eine Schule oder an ein Zentrum f</w:t>
      </w:r>
      <w:r>
        <w:t>ü</w:t>
      </w:r>
      <w:r>
        <w:t>r schulpraktische Lehrerausbildung.</w:t>
      </w:r>
    </w:p>
    <w:p w14:paraId="2435278D" w14:textId="77777777" w:rsidR="005B1F3B" w:rsidRDefault="005B1F3B">
      <w:pPr>
        <w:pStyle w:val="RVueberschrift285fz"/>
        <w:keepNext/>
        <w:keepLines/>
        <w:rPr>
          <w:rFonts w:cs="Arial"/>
        </w:rPr>
      </w:pPr>
      <w:r>
        <w:t>3 Fortbildung der Besch</w:t>
      </w:r>
      <w:r>
        <w:t>ä</w:t>
      </w:r>
      <w:r>
        <w:t xml:space="preserve">ftigten </w:t>
      </w:r>
      <w:r>
        <w:br/>
        <w:t>(</w:t>
      </w:r>
      <w:r>
        <w:t>§</w:t>
      </w:r>
      <w:r>
        <w:t xml:space="preserve"> 72 Abs. 4 Satz 1 Nr. 16)</w:t>
      </w:r>
    </w:p>
    <w:p w14:paraId="263B0FE3" w14:textId="77777777" w:rsidR="005B1F3B" w:rsidRDefault="005B1F3B">
      <w:pPr>
        <w:pStyle w:val="RVfliesstext175nb"/>
        <w:widowControl/>
        <w:rPr>
          <w:rFonts w:cs="Arial"/>
        </w:rPr>
      </w:pPr>
      <w:r>
        <w:t>§</w:t>
      </w:r>
      <w:r>
        <w:t xml:space="preserve"> 72 Absatz 4 Satz 1 Nummer 16 unterscheidet zwischen der Mitbestimmung </w:t>
      </w:r>
      <w:r>
        <w:t>ü</w:t>
      </w:r>
      <w:r>
        <w:t>ber allgemeine Fragen der Fortbildung der Besch</w:t>
      </w:r>
      <w:r>
        <w:t>ä</w:t>
      </w:r>
      <w:r>
        <w:t>ftigten und der Auswahl der Teilnehmerinnen und Teilnehmer an Fortbildungsveranstaltungen.</w:t>
      </w:r>
    </w:p>
    <w:p w14:paraId="42DD2BC4" w14:textId="77777777" w:rsidR="005B1F3B" w:rsidRDefault="005B1F3B">
      <w:pPr>
        <w:pStyle w:val="RVfliesstext175nb"/>
        <w:widowControl/>
        <w:rPr>
          <w:rFonts w:cs="Arial"/>
        </w:rPr>
      </w:pPr>
      <w:r>
        <w:t>Allgemeine Fragen der dienstlichen/amtlichen Fortbildung der Besch</w:t>
      </w:r>
      <w:r>
        <w:t>ä</w:t>
      </w:r>
      <w:r>
        <w:t>ftigten sind insbesondere:</w:t>
      </w:r>
    </w:p>
    <w:p w14:paraId="39E4CFCD" w14:textId="77777777" w:rsidR="005B1F3B" w:rsidRDefault="005B1F3B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Planung der Fortbildungsveranstaltungen</w:t>
      </w:r>
    </w:p>
    <w:p w14:paraId="1A04BDE5" w14:textId="77777777" w:rsidR="005B1F3B" w:rsidRDefault="005B1F3B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Bestimmung der Fortbildungseinrichtung</w:t>
      </w:r>
    </w:p>
    <w:p w14:paraId="42F5CC8A" w14:textId="77777777" w:rsidR="005B1F3B" w:rsidRDefault="005B1F3B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Grunds</w:t>
      </w:r>
      <w:r>
        <w:rPr>
          <w:rFonts w:cs="Arial"/>
        </w:rPr>
        <w:t>ä</w:t>
      </w:r>
      <w:r>
        <w:rPr>
          <w:rFonts w:cs="Arial"/>
        </w:rPr>
        <w:t>tze der Programmgestaltung</w:t>
      </w:r>
    </w:p>
    <w:p w14:paraId="6AB49582" w14:textId="77777777" w:rsidR="005B1F3B" w:rsidRDefault="005B1F3B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Themen, Inhalte, Ziele</w:t>
      </w:r>
    </w:p>
    <w:p w14:paraId="2CD89217" w14:textId="77777777" w:rsidR="005B1F3B" w:rsidRDefault="005B1F3B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Art der Veranstaltungen (Seminar, Arbeitsgemeinschaft, Studienfahrt usw.)</w:t>
      </w:r>
    </w:p>
    <w:p w14:paraId="0B694B7C" w14:textId="77777777" w:rsidR="005B1F3B" w:rsidRDefault="005B1F3B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Anzahl, Aufteilung auf Schulformen/Schulstufen und Regionen</w:t>
      </w:r>
    </w:p>
    <w:p w14:paraId="61818054" w14:textId="77777777" w:rsidR="005B1F3B" w:rsidRDefault="005B1F3B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Dauer, Zeitpunkt, Ort</w:t>
      </w:r>
    </w:p>
    <w:p w14:paraId="4024FDC4" w14:textId="77777777" w:rsidR="005B1F3B" w:rsidRDefault="005B1F3B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Festlegung des Teilnehmerkreises</w:t>
      </w:r>
    </w:p>
    <w:p w14:paraId="66282D94" w14:textId="77777777" w:rsidR="005B1F3B" w:rsidRDefault="005B1F3B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Teilnahmebedingungen, Teilnehmerzahlen</w:t>
      </w:r>
    </w:p>
    <w:p w14:paraId="2E697DC1" w14:textId="77777777" w:rsidR="005B1F3B" w:rsidRDefault="005B1F3B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Auswahlgrunds</w:t>
      </w:r>
      <w:r>
        <w:t>ä</w:t>
      </w:r>
      <w:r>
        <w:t>tze.</w:t>
      </w:r>
    </w:p>
    <w:p w14:paraId="200A19AD" w14:textId="77777777" w:rsidR="005B1F3B" w:rsidRDefault="005B1F3B">
      <w:pPr>
        <w:pStyle w:val="RVfliesstext175nb"/>
        <w:widowControl/>
        <w:rPr>
          <w:rFonts w:cs="Arial"/>
        </w:rPr>
      </w:pPr>
      <w:r>
        <w:t>Allgemeine Fragen, welche nicht unmittelbar die Fortbildung der Besch</w:t>
      </w:r>
      <w:r>
        <w:t>ä</w:t>
      </w:r>
      <w:r>
        <w:t xml:space="preserve">ftigten selbst, sondern lediglich Annexfragen betreffen, werden von </w:t>
      </w:r>
      <w:r>
        <w:t>§</w:t>
      </w:r>
      <w:r>
        <w:t xml:space="preserve"> 72 Absatz 4 Satz 1 Nummer 16 nicht erfasst.</w:t>
      </w:r>
    </w:p>
    <w:p w14:paraId="3E87BD0B" w14:textId="77777777" w:rsidR="005B1F3B" w:rsidRDefault="005B1F3B">
      <w:pPr>
        <w:pStyle w:val="RVfliesstext175nb"/>
        <w:widowControl/>
        <w:rPr>
          <w:rFonts w:cs="Arial"/>
        </w:rPr>
      </w:pPr>
      <w:r>
        <w:t>Die Mitbestimmung bei der Auswahl der Teilnehmerinnen und Teilnehmer bezieht sich auf den Einzelfall, d.h. auf bestimmte Personen, die an konkreten Ma</w:t>
      </w:r>
      <w:r>
        <w:t>ß</w:t>
      </w:r>
      <w:r>
        <w:t>nahmen der Fortbildung teilnehmen.</w:t>
      </w:r>
    </w:p>
    <w:p w14:paraId="786C1580" w14:textId="77777777" w:rsidR="005B1F3B" w:rsidRDefault="005B1F3B">
      <w:pPr>
        <w:pStyle w:val="RVueberschrift285fz"/>
        <w:keepNext/>
        <w:keepLines/>
        <w:rPr>
          <w:rFonts w:cs="Arial"/>
        </w:rPr>
      </w:pPr>
      <w:r>
        <w:t xml:space="preserve">4 Beteiligung bei der Verteilung von Haushaltsmitteln </w:t>
      </w:r>
      <w:r>
        <w:br/>
        <w:t>f</w:t>
      </w:r>
      <w:r>
        <w:t>ü</w:t>
      </w:r>
      <w:r>
        <w:t>r Schulveranstaltungen</w:t>
      </w:r>
    </w:p>
    <w:p w14:paraId="6581CCC7" w14:textId="77777777" w:rsidR="005B1F3B" w:rsidRDefault="005B1F3B">
      <w:pPr>
        <w:pStyle w:val="RVfliesstext175nb"/>
        <w:widowControl/>
        <w:rPr>
          <w:rFonts w:cs="Arial"/>
        </w:rPr>
      </w:pPr>
      <w:r>
        <w:t>F</w:t>
      </w:r>
      <w:r>
        <w:t>ü</w:t>
      </w:r>
      <w:r>
        <w:t>r die Verteilung der Haushaltsmittel f</w:t>
      </w:r>
      <w:r>
        <w:t>ü</w:t>
      </w:r>
      <w:r>
        <w:t>r Schulwanderungen, Studienfahrten, Schullandheimaufenthalte u.</w:t>
      </w:r>
      <w:r>
        <w:t>ä</w:t>
      </w:r>
      <w:r>
        <w:t>. auf die Schul</w:t>
      </w:r>
      <w:r>
        <w:t>ä</w:t>
      </w:r>
      <w:r>
        <w:t>mter und die einzelnen Schulen steht den Personalvertretungen kein Beteiligungsrecht zu. Damit die Gesichtspunkte der Personalvertretungen Ber</w:t>
      </w:r>
      <w:r>
        <w:t>ü</w:t>
      </w:r>
      <w:r>
        <w:t>cksichtigung finden k</w:t>
      </w:r>
      <w:r>
        <w:t>ö</w:t>
      </w:r>
      <w:r>
        <w:t>nnen, soll die von der Dienststelle vorgesehene Verteilung der o.g. Haushaltsmittel den Bezirkspersonalr</w:t>
      </w:r>
      <w:r>
        <w:t>ä</w:t>
      </w:r>
      <w:r>
        <w:t>ten und den Personalr</w:t>
      </w:r>
      <w:r>
        <w:t>ä</w:t>
      </w:r>
      <w:r>
        <w:t>ten zur Information mit der Gelegenheit zur Stellungnahme zugeleitet werden.</w:t>
      </w:r>
    </w:p>
    <w:p w14:paraId="3F99E31B" w14:textId="77777777" w:rsidR="005B1F3B" w:rsidRDefault="005B1F3B">
      <w:pPr>
        <w:pStyle w:val="RVfliesstext175nb"/>
        <w:widowControl/>
      </w:pP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B6B2B" w14:textId="77777777" w:rsidR="005B1F3B" w:rsidRDefault="005B1F3B">
      <w:pPr>
        <w:widowControl/>
      </w:pPr>
      <w:r>
        <w:rPr>
          <w:rFonts w:cs="Calibri"/>
        </w:rPr>
        <w:separator/>
      </w:r>
    </w:p>
  </w:endnote>
  <w:endnote w:type="continuationSeparator" w:id="0">
    <w:p w14:paraId="23137907" w14:textId="77777777" w:rsidR="005B1F3B" w:rsidRDefault="005B1F3B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3D0FF" w14:textId="77777777" w:rsidR="005B1F3B" w:rsidRDefault="005B1F3B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6B235" w14:textId="77777777" w:rsidR="005B1F3B" w:rsidRDefault="005B1F3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3D53D4C" w14:textId="77777777" w:rsidR="005B1F3B" w:rsidRDefault="005B1F3B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728CFF59" w14:textId="77777777" w:rsidR="005B1F3B" w:rsidRDefault="005B1F3B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  <w:r>
        <w:t>.</w:t>
      </w:r>
      <w:r>
        <w:rPr>
          <w:rFonts w:cs="Calibri"/>
        </w:rPr>
        <w:t xml:space="preserve"> Eingearbeitet</w:t>
      </w:r>
      <w:r>
        <w:t>:</w:t>
      </w:r>
      <w:r>
        <w:rPr>
          <w:rFonts w:cs="Calibri"/>
        </w:rPr>
        <w:t xml:space="preserve"> </w:t>
      </w:r>
      <w:r>
        <w:rPr>
          <w:rFonts w:cs="Calibri"/>
        </w:rPr>
        <w:br/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15</w:t>
      </w:r>
      <w:r>
        <w:t>.</w:t>
      </w:r>
      <w:r>
        <w:rPr>
          <w:rFonts w:cs="Calibri"/>
        </w:rPr>
        <w:t>11</w:t>
      </w:r>
      <w:r>
        <w:t>.</w:t>
      </w:r>
      <w:r>
        <w:rPr>
          <w:rFonts w:cs="Calibri"/>
        </w:rPr>
        <w:t xml:space="preserve">2013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619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20</w:t>
      </w:r>
      <w:r>
        <w:rPr>
          <w:rFonts w:cs="Calibri"/>
        </w:rPr>
        <w:t>.</w:t>
      </w:r>
      <w:r>
        <w:t>06</w:t>
      </w:r>
      <w:r>
        <w:rPr>
          <w:rFonts w:cs="Calibri"/>
        </w:rPr>
        <w:t>.</w:t>
      </w:r>
      <w:r>
        <w:t xml:space="preserve">1996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I S</w:t>
      </w:r>
      <w:r>
        <w:rPr>
          <w:rFonts w:cs="Calibri"/>
        </w:rPr>
        <w:t>.</w:t>
      </w:r>
      <w:r>
        <w:t xml:space="preserve"> 130</w:t>
      </w:r>
      <w:r>
        <w:rPr>
          <w:rFonts w:cs="Calibri"/>
        </w:rPr>
        <w:t>)</w:t>
      </w:r>
      <w:r>
        <w:br/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IM v</w:t>
      </w:r>
      <w:r>
        <w:rPr>
          <w:rFonts w:cs="Calibri"/>
        </w:rPr>
        <w:t>.</w:t>
      </w:r>
      <w:r>
        <w:t xml:space="preserve"> 22</w:t>
      </w:r>
      <w:r>
        <w:rPr>
          <w:rFonts w:cs="Calibri"/>
        </w:rPr>
        <w:t>.</w:t>
      </w:r>
      <w:r>
        <w:t>03</w:t>
      </w:r>
      <w:r>
        <w:rPr>
          <w:rFonts w:cs="Calibri"/>
        </w:rPr>
        <w:t>.</w:t>
      </w:r>
      <w:r>
        <w:t xml:space="preserve">1996 </w:t>
      </w:r>
      <w:r>
        <w:rPr>
          <w:rFonts w:cs="Calibri"/>
        </w:rPr>
        <w:t>(</w:t>
      </w:r>
      <w:r>
        <w:t>MBl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741</w:t>
      </w:r>
      <w:r>
        <w:rPr>
          <w:rFonts w:cs="Calibr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6B97"/>
    <w:rsid w:val="00266B97"/>
    <w:rsid w:val="005B1F3B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864C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7200310091014368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7200310091014368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cht.nrw.de/lmi/owa/br_text_anzeigen?v_id=720031009101436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7200310091014368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2024-09-10T02:11:00Z</dcterms:created>
  <dcterms:modified xsi:type="dcterms:W3CDTF">2024-09-10T02:11:00Z</dcterms:modified>
</cp:coreProperties>
</file>