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3A9E" w14:textId="77777777" w:rsidR="00276289" w:rsidRDefault="00276289">
      <w:pPr>
        <w:pStyle w:val="Bass-Nr"/>
        <w:keepNext/>
        <w:rPr>
          <w:rFonts w:cs="Calibri"/>
        </w:rPr>
      </w:pPr>
      <w:bookmarkStart w:id="0" w:name="10-48nr4"/>
      <w:bookmarkEnd w:id="0"/>
      <w:r>
        <w:t>10-48 Nr. 4</w:t>
      </w:r>
    </w:p>
    <w:p w14:paraId="7A05A320" w14:textId="77777777" w:rsidR="00276289" w:rsidRDefault="00276289">
      <w:pPr>
        <w:pStyle w:val="RVueberschrift1100fz"/>
        <w:keepNext/>
        <w:keepLines/>
      </w:pPr>
      <w:r>
        <w:rPr>
          <w:rFonts w:cs="Arial"/>
        </w:rPr>
        <w:t xml:space="preserve">Richtlinien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Aufbewahrung, </w:t>
      </w:r>
      <w:r>
        <w:rPr>
          <w:rFonts w:cs="Arial"/>
        </w:rPr>
        <w:br/>
        <w:t xml:space="preserve">Aussonderung und Vernichtung von Akten </w:t>
      </w:r>
      <w:r>
        <w:rPr>
          <w:rFonts w:cs="Arial"/>
        </w:rPr>
        <w:br/>
        <w:t>bei Beh</w:t>
      </w:r>
      <w:r>
        <w:rPr>
          <w:rFonts w:cs="Arial"/>
        </w:rPr>
        <w:t>ö</w:t>
      </w:r>
      <w:r>
        <w:rPr>
          <w:rFonts w:cs="Arial"/>
        </w:rPr>
        <w:t xml:space="preserve">rden und Einrichtungen </w:t>
      </w:r>
      <w:r>
        <w:rPr>
          <w:rFonts w:cs="Arial"/>
        </w:rPr>
        <w:br/>
        <w:t>im Gesch</w:t>
      </w:r>
      <w:r>
        <w:rPr>
          <w:rFonts w:cs="Arial"/>
        </w:rPr>
        <w:t>ä</w:t>
      </w:r>
      <w:r>
        <w:rPr>
          <w:rFonts w:cs="Arial"/>
        </w:rPr>
        <w:t xml:space="preserve">ftsbereich </w:t>
      </w:r>
      <w:r>
        <w:rPr>
          <w:rFonts w:cs="Arial"/>
        </w:rPr>
        <w:br/>
        <w:t>des Ministeriums f</w:t>
      </w:r>
      <w:r>
        <w:rPr>
          <w:rFonts w:cs="Arial"/>
        </w:rPr>
        <w:t>ü</w:t>
      </w:r>
      <w:r>
        <w:rPr>
          <w:rFonts w:cs="Arial"/>
        </w:rPr>
        <w:t>r Schule und Bildung</w:t>
      </w:r>
    </w:p>
    <w:p w14:paraId="454FF9D6" w14:textId="77777777" w:rsidR="00276289" w:rsidRDefault="00276289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Kultusministeriums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06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1981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72</w:t>
      </w:r>
      <w: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28306049" w14:textId="77777777" w:rsidR="00276289" w:rsidRDefault="00276289">
      <w:pPr>
        <w:pStyle w:val="RVueberschrift285fz"/>
        <w:keepNext/>
        <w:keepLines/>
      </w:pPr>
      <w:bookmarkStart w:id="2" w:name="10-48nr4nr1"/>
      <w:bookmarkEnd w:id="2"/>
      <w:r>
        <w:rPr>
          <w:rFonts w:cs="Calibri"/>
        </w:rPr>
        <w:t>1 Allgemeines</w:t>
      </w:r>
    </w:p>
    <w:p w14:paraId="62EA8651" w14:textId="77777777" w:rsidR="00276289" w:rsidRDefault="00276289">
      <w:pPr>
        <w:pStyle w:val="RVfliesstext175nb"/>
        <w:widowControl/>
      </w:pPr>
      <w:r>
        <w:rPr>
          <w:rFonts w:cs="Calibri"/>
        </w:rPr>
        <w:t>1.1 Akten sind so zu ordnen und zu legen, dass sie dauerhaft erhalten bleiben und von Unbefugten nicht eingesehen werden k</w:t>
      </w:r>
      <w:r>
        <w:rPr>
          <w:rFonts w:cs="Calibri"/>
        </w:rPr>
        <w:t>ö</w:t>
      </w:r>
      <w:r>
        <w:rPr>
          <w:rFonts w:cs="Calibri"/>
        </w:rPr>
        <w:t>nnen. Weitergehende Vorschriften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5A2FBB4C" w14:textId="77777777" w:rsidR="00276289" w:rsidRDefault="00276289">
      <w:pPr>
        <w:pStyle w:val="RVfliesstext175nb"/>
        <w:widowControl/>
      </w:pPr>
      <w:r>
        <w:rPr>
          <w:rFonts w:cs="Calibri"/>
        </w:rPr>
        <w:t>1.2 Als Akten im Sinne dieses Erlasses gelten auch Gesch</w:t>
      </w:r>
      <w:r>
        <w:rPr>
          <w:rFonts w:cs="Calibri"/>
        </w:rPr>
        <w:t>ä</w:t>
      </w:r>
      <w:r>
        <w:rPr>
          <w:rFonts w:cs="Calibri"/>
        </w:rPr>
        <w:t>ftsb</w:t>
      </w:r>
      <w:r>
        <w:rPr>
          <w:rFonts w:cs="Calibri"/>
        </w:rPr>
        <w:t>ü</w:t>
      </w:r>
      <w:r>
        <w:rPr>
          <w:rFonts w:cs="Calibri"/>
        </w:rPr>
        <w:t>cher, Karten, Pl</w:t>
      </w:r>
      <w:r>
        <w:rPr>
          <w:rFonts w:cs="Calibri"/>
        </w:rPr>
        <w:t>ä</w:t>
      </w:r>
      <w:r>
        <w:rPr>
          <w:rFonts w:cs="Calibri"/>
        </w:rPr>
        <w:t>ne, Zeichnungen, Druckschriften, Lichtbilder, Filme sowie Ton- und Datentr</w:t>
      </w:r>
      <w:r>
        <w:rPr>
          <w:rFonts w:cs="Calibri"/>
        </w:rPr>
        <w:t>ä</w:t>
      </w:r>
      <w:r>
        <w:rPr>
          <w:rFonts w:cs="Calibri"/>
        </w:rPr>
        <w:t>ger.</w:t>
      </w:r>
    </w:p>
    <w:p w14:paraId="743145B2" w14:textId="77777777" w:rsidR="00276289" w:rsidRDefault="00276289">
      <w:pPr>
        <w:pStyle w:val="RVfliesstext175nb"/>
        <w:widowControl/>
      </w:pPr>
      <w:r>
        <w:rPr>
          <w:rFonts w:cs="Calibri"/>
        </w:rPr>
        <w:t>1.3 Die nachfolgenden Bestimmungen gelten nur, soweit nicht in anderweitigen Vorschriften bereits besondere Aufbewahrungsfristen vorgesehen sind (z.B. bei der F</w:t>
      </w:r>
      <w:r>
        <w:rPr>
          <w:rFonts w:cs="Calibri"/>
        </w:rPr>
        <w:t>ü</w:t>
      </w:r>
      <w:r>
        <w:rPr>
          <w:rFonts w:cs="Calibri"/>
        </w:rPr>
        <w:t>hrung von Personalakten; Verwaltungsvorschrif</w:t>
      </w:r>
      <w:hyperlink r:id="rId7" w:history="1">
        <w:r>
          <w:rPr>
            <w:rFonts w:cs="Calibri"/>
          </w:rPr>
          <w:t>ten zur Landeshaushaltsordnung - VV zu § 71 und § 74 LHO</w:t>
        </w:r>
      </w:hyperlink>
      <w:r>
        <w:t>;</w:t>
      </w:r>
      <w:hyperlink w:anchor="https://bass.schul-welt.de/101.htm#10-44nr2.1p9" w:history="1">
        <w:r>
          <w:t xml:space="preserve"> § 9 Abs. 1 </w:t>
        </w:r>
      </w:hyperlink>
      <w:r>
        <w:rPr>
          <w:rFonts w:cs="Calibri"/>
        </w:rPr>
        <w:t xml:space="preserve">Verordnung </w:t>
      </w:r>
      <w:r>
        <w:rPr>
          <w:rFonts w:cs="Calibri"/>
        </w:rPr>
        <w:t>ü</w:t>
      </w:r>
      <w:r>
        <w:rPr>
          <w:rFonts w:cs="Calibri"/>
        </w:rPr>
        <w:t>ber die zur Verarbeitung zugelassenen Daten der Sch</w:t>
      </w:r>
      <w:r>
        <w:rPr>
          <w:rFonts w:cs="Calibri"/>
        </w:rPr>
        <w:t>ü</w:t>
      </w:r>
      <w:r>
        <w:rPr>
          <w:rFonts w:cs="Calibri"/>
        </w:rPr>
        <w:t>lerinnen, Sch</w:t>
      </w:r>
      <w:r>
        <w:rPr>
          <w:rFonts w:cs="Calibri"/>
        </w:rPr>
        <w:t>ü</w:t>
      </w:r>
      <w:r>
        <w:rPr>
          <w:rFonts w:cs="Calibri"/>
        </w:rPr>
        <w:t>ler und Eltern (VO-DV I - BASS 10-44 Nr. 2.1).</w:t>
      </w:r>
    </w:p>
    <w:p w14:paraId="214BBDDE" w14:textId="77777777" w:rsidR="00276289" w:rsidRDefault="00276289">
      <w:pPr>
        <w:pStyle w:val="RVueberschrift285fz"/>
        <w:keepNext/>
        <w:keepLines/>
      </w:pPr>
      <w:bookmarkStart w:id="3" w:name="10-48nr4nr2"/>
      <w:bookmarkEnd w:id="3"/>
      <w:r>
        <w:rPr>
          <w:rFonts w:cs="Calibri"/>
        </w:rPr>
        <w:t>2 Aufbewahrungsfristen</w:t>
      </w:r>
    </w:p>
    <w:p w14:paraId="71BFBF64" w14:textId="77777777" w:rsidR="00276289" w:rsidRDefault="00276289">
      <w:pPr>
        <w:pStyle w:val="RVfliesstext175nb"/>
        <w:widowControl/>
      </w:pPr>
      <w:r>
        <w:rPr>
          <w:rFonts w:cs="Calibri"/>
        </w:rPr>
        <w:t>Soweit im Einzelfall keine l</w:t>
      </w:r>
      <w:r>
        <w:rPr>
          <w:rFonts w:cs="Calibri"/>
        </w:rPr>
        <w:t>ä</w:t>
      </w:r>
      <w:r>
        <w:rPr>
          <w:rFonts w:cs="Calibri"/>
        </w:rPr>
        <w:t>ngere Frist geboten ist, sind aufzubewahren: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1236"/>
      </w:tblGrid>
      <w:tr w:rsidR="00000000" w14:paraId="1DFB6ED5" w14:textId="77777777">
        <w:trPr>
          <w:trHeight w:val="210"/>
        </w:trPr>
        <w:tc>
          <w:tcPr>
            <w:tcW w:w="36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E660C" w14:textId="77777777" w:rsidR="00276289" w:rsidRDefault="00276289">
            <w:pPr>
              <w:pStyle w:val="RVtabellenanker"/>
              <w:widowControl/>
              <w:rPr>
                <w:rFonts w:cs="Calibri"/>
              </w:rPr>
            </w:pPr>
          </w:p>
          <w:p w14:paraId="7D3DCAF9" w14:textId="77777777" w:rsidR="00276289" w:rsidRDefault="00276289">
            <w:pPr>
              <w:pStyle w:val="RVfliesstext175nb"/>
              <w:widowControl/>
              <w:rPr>
                <w:rFonts w:cs="Calibri"/>
              </w:rPr>
            </w:pPr>
            <w:r>
              <w:t xml:space="preserve">2.1. Akten </w:t>
            </w:r>
            <w:r>
              <w:t>ü</w:t>
            </w:r>
            <w:r>
              <w:t>ber Lehramtspr</w:t>
            </w:r>
            <w:r>
              <w:t>ü</w:t>
            </w:r>
            <w:r>
              <w:t>fungen</w:t>
            </w:r>
          </w:p>
        </w:tc>
        <w:tc>
          <w:tcPr>
            <w:tcW w:w="12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0B2E2" w14:textId="77777777" w:rsidR="00276289" w:rsidRDefault="0027628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D835030" w14:textId="77777777">
        <w:trPr>
          <w:trHeight w:val="530"/>
        </w:trPr>
        <w:tc>
          <w:tcPr>
            <w:tcW w:w="36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795FA" w14:textId="77777777" w:rsidR="00276289" w:rsidRDefault="00276289">
            <w:pPr>
              <w:pStyle w:val="RVfliesstext175nb"/>
              <w:widowControl/>
            </w:pPr>
            <w:r>
              <w:rPr>
                <w:rFonts w:cs="Calibri"/>
              </w:rPr>
              <w:t>2.11 Die Entw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rfe von Zeugnissen und Bescheinigungen sowie die Niederschriften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Notenbildung aufgrund mehrerer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fungsleistungen</w:t>
            </w:r>
          </w:p>
        </w:tc>
        <w:tc>
          <w:tcPr>
            <w:tcW w:w="12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1854A" w14:textId="77777777" w:rsidR="00276289" w:rsidRDefault="0027628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50 Jahre</w:t>
            </w:r>
          </w:p>
        </w:tc>
      </w:tr>
      <w:tr w:rsidR="00000000" w14:paraId="79198358" w14:textId="77777777">
        <w:trPr>
          <w:trHeight w:val="1650"/>
        </w:trPr>
        <w:tc>
          <w:tcPr>
            <w:tcW w:w="36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7EEEC" w14:textId="77777777" w:rsidR="00276289" w:rsidRDefault="00276289">
            <w:pPr>
              <w:pStyle w:val="RVfliesstext175nb"/>
              <w:widowControl/>
            </w:pPr>
            <w:r>
              <w:rPr>
                <w:rFonts w:cs="Calibri"/>
              </w:rPr>
              <w:t xml:space="preserve">2.12 Der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brige Inhalt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fungsakten. Die Hausarbeit kann der Verfasserin oder dem Verfasser nach Ablauf der Aufbewahrungsfrist zur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ckgegeben werden, sofern sie keine Korrekturvermerke der Gutachterin oder des Gutachters enth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lt. Sie kann vor Ablauf der Frist zu Nr. 2.12 zur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ckgegeben werden, soweit ein besonderes Interesse an der vorzeitigen 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glaubhaft gemacht werden kann (z.B. 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nstlerische Arbeit); vor Herausgabe ist eine Dokumentation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Arbeit zu den Akten zu geben.</w:t>
            </w:r>
          </w:p>
        </w:tc>
        <w:tc>
          <w:tcPr>
            <w:tcW w:w="12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59107" w14:textId="77777777" w:rsidR="00276289" w:rsidRDefault="0027628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5 Jahre</w:t>
            </w:r>
          </w:p>
        </w:tc>
      </w:tr>
      <w:tr w:rsidR="00000000" w14:paraId="1E068F47" w14:textId="77777777">
        <w:trPr>
          <w:trHeight w:val="210"/>
        </w:trPr>
        <w:tc>
          <w:tcPr>
            <w:tcW w:w="36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0CF73" w14:textId="77777777" w:rsidR="00276289" w:rsidRDefault="00276289">
            <w:pPr>
              <w:pStyle w:val="RVfliesstext175nb"/>
              <w:widowControl/>
            </w:pPr>
            <w:r>
              <w:rPr>
                <w:rFonts w:cs="Calibri"/>
              </w:rPr>
              <w:t xml:space="preserve">2.2 Alle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brigen Akten</w:t>
            </w:r>
          </w:p>
        </w:tc>
        <w:tc>
          <w:tcPr>
            <w:tcW w:w="12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35666" w14:textId="77777777" w:rsidR="00276289" w:rsidRDefault="0027628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5 Jahre</w:t>
            </w:r>
          </w:p>
        </w:tc>
      </w:tr>
      <w:tr w:rsidR="00000000" w14:paraId="06827BBE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CB352F5" w14:textId="77777777" w:rsidR="00276289" w:rsidRDefault="0027628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Aufbewahrungsfristen von Akten</w:t>
            </w:r>
          </w:p>
        </w:tc>
      </w:tr>
    </w:tbl>
    <w:p w14:paraId="56D1C984" w14:textId="77777777" w:rsidR="00276289" w:rsidRDefault="00276289">
      <w:pPr>
        <w:pStyle w:val="RVfliesstext175nb"/>
        <w:widowControl/>
      </w:pPr>
      <w:r>
        <w:rPr>
          <w:rFonts w:cs="Calibri"/>
        </w:rPr>
        <w:t>Die Aufbewahrungsfristen beginnen, soweit nichts anderes ausdr</w:t>
      </w:r>
      <w:r>
        <w:rPr>
          <w:rFonts w:cs="Calibri"/>
        </w:rPr>
        <w:t>ü</w:t>
      </w:r>
      <w:r>
        <w:rPr>
          <w:rFonts w:cs="Calibri"/>
        </w:rPr>
        <w:t>cklich bestimmt ist, mit Ablauf des Kalenderjahres, in dem die Akten geschlossen worden sind.</w:t>
      </w:r>
    </w:p>
    <w:p w14:paraId="492CAE36" w14:textId="77777777" w:rsidR="00276289" w:rsidRDefault="00276289">
      <w:pPr>
        <w:pStyle w:val="RVueberschrift285fz"/>
        <w:keepNext/>
        <w:keepLines/>
        <w:rPr>
          <w:rFonts w:cs="Calibri"/>
        </w:rPr>
      </w:pPr>
      <w:bookmarkStart w:id="4" w:name="10-48nr4nr3"/>
      <w:bookmarkEnd w:id="4"/>
      <w:r>
        <w:rPr>
          <w:rFonts w:cs="Calibri"/>
        </w:rPr>
        <w:t xml:space="preserve">3 Aussonderung und Ablieferung </w:t>
      </w:r>
      <w:r>
        <w:br/>
        <w:t>an das Landesarchiv Nordrhein-Westfalen</w:t>
      </w:r>
    </w:p>
    <w:p w14:paraId="52241E9D" w14:textId="77777777" w:rsidR="00276289" w:rsidRDefault="00276289">
      <w:pPr>
        <w:pStyle w:val="RVfliesstext175nb"/>
        <w:widowControl/>
        <w:rPr>
          <w:rFonts w:cs="Calibri"/>
        </w:rPr>
      </w:pPr>
      <w:r>
        <w:t>3.1 Akten, deren Aufbewahrungsfristen abgelaufen sind und die f</w:t>
      </w:r>
      <w:r>
        <w:t>ü</w:t>
      </w:r>
      <w:r>
        <w:t>r den laufenden Gesch</w:t>
      </w:r>
      <w:r>
        <w:t>ä</w:t>
      </w:r>
      <w:r>
        <w:t>ftsbetrieb nicht mehr ben</w:t>
      </w:r>
      <w:r>
        <w:t>ö</w:t>
      </w:r>
      <w:r>
        <w:t xml:space="preserve">tigt werden, sind dem Landesarchiv Nordrhein-Westfalen zur </w:t>
      </w:r>
      <w:r>
        <w:t>Ü</w:t>
      </w:r>
      <w:r>
        <w:t xml:space="preserve">bernahme anzubieten. Das Landesarchiv entscheidet </w:t>
      </w:r>
      <w:r>
        <w:t>ü</w:t>
      </w:r>
      <w:r>
        <w:t>ber die Archivw</w:t>
      </w:r>
      <w:r>
        <w:t>ü</w:t>
      </w:r>
      <w:r>
        <w:t>rdigkeit.</w:t>
      </w:r>
    </w:p>
    <w:p w14:paraId="4EB75470" w14:textId="77777777" w:rsidR="00276289" w:rsidRDefault="00276289">
      <w:pPr>
        <w:pStyle w:val="RVfliesstext175nb"/>
        <w:widowControl/>
        <w:rPr>
          <w:rFonts w:cs="Calibri"/>
        </w:rPr>
      </w:pPr>
      <w:r>
        <w:t>3.2 Die Abteilung Rheinland des Landesarchivs ist f</w:t>
      </w:r>
      <w:r>
        <w:t>ü</w:t>
      </w:r>
      <w:r>
        <w:t>r die Regierungsbezirke D</w:t>
      </w:r>
      <w:r>
        <w:t>ü</w:t>
      </w:r>
      <w:r>
        <w:t>sseldorf und K</w:t>
      </w:r>
      <w:r>
        <w:t>ö</w:t>
      </w:r>
      <w:r>
        <w:t>ln,</w:t>
      </w:r>
    </w:p>
    <w:p w14:paraId="6A2F19A3" w14:textId="77777777" w:rsidR="00276289" w:rsidRDefault="00276289">
      <w:pPr>
        <w:pStyle w:val="RVfliesstext175nb"/>
        <w:widowControl/>
        <w:rPr>
          <w:rFonts w:cs="Calibri"/>
        </w:rPr>
      </w:pPr>
      <w:r>
        <w:t>die Abteilung Westfalen f</w:t>
      </w:r>
      <w:r>
        <w:t>ü</w:t>
      </w:r>
      <w:r>
        <w:t>r die Regierungsbezirke Arnsberg und M</w:t>
      </w:r>
      <w:r>
        <w:t>ü</w:t>
      </w:r>
      <w:r>
        <w:t>nster,</w:t>
      </w:r>
    </w:p>
    <w:p w14:paraId="2BF770F6" w14:textId="77777777" w:rsidR="00276289" w:rsidRDefault="00276289">
      <w:pPr>
        <w:pStyle w:val="RVfliesstext175nb"/>
        <w:widowControl/>
        <w:rPr>
          <w:rFonts w:cs="Calibri"/>
        </w:rPr>
      </w:pPr>
      <w:r>
        <w:t>die Abteilung Ostwestfalen-Lippe f</w:t>
      </w:r>
      <w:r>
        <w:t>ü</w:t>
      </w:r>
      <w:r>
        <w:t>r den Regierungsbezirk Detmold</w:t>
      </w:r>
    </w:p>
    <w:p w14:paraId="4EB552AD" w14:textId="77777777" w:rsidR="00276289" w:rsidRDefault="00276289">
      <w:pPr>
        <w:pStyle w:val="RVfliesstext175nb"/>
        <w:widowControl/>
        <w:rPr>
          <w:rFonts w:cs="Calibri"/>
        </w:rPr>
      </w:pPr>
      <w:r>
        <w:t>zust</w:t>
      </w:r>
      <w:r>
        <w:t>ä</w:t>
      </w:r>
      <w:r>
        <w:t>ndig.</w:t>
      </w:r>
    </w:p>
    <w:p w14:paraId="1D31915D" w14:textId="77777777" w:rsidR="00276289" w:rsidRDefault="00276289">
      <w:pPr>
        <w:pStyle w:val="RVfliesstext175nb"/>
        <w:widowControl/>
        <w:rPr>
          <w:rFonts w:cs="Calibri"/>
        </w:rPr>
      </w:pPr>
      <w:r>
        <w:t>3.3 Dem Landesarchiv sind grunds</w:t>
      </w:r>
      <w:r>
        <w:t>ä</w:t>
      </w:r>
      <w:r>
        <w:t>tzlich nicht anzubieten:</w:t>
      </w:r>
    </w:p>
    <w:p w14:paraId="11A26073" w14:textId="77777777" w:rsidR="00276289" w:rsidRDefault="00276289">
      <w:pPr>
        <w:pStyle w:val="RVfliesstext175nb"/>
        <w:widowControl/>
        <w:rPr>
          <w:rFonts w:cs="Calibri"/>
        </w:rPr>
      </w:pPr>
      <w:r>
        <w:t>3.31 Allgemeine Bewerbungsunterlagen</w:t>
      </w:r>
    </w:p>
    <w:p w14:paraId="1D5AD014" w14:textId="77777777" w:rsidR="00276289" w:rsidRDefault="00276289">
      <w:pPr>
        <w:pStyle w:val="RVfliesstext175nb"/>
        <w:widowControl/>
        <w:rPr>
          <w:rFonts w:cs="Calibri"/>
        </w:rPr>
      </w:pPr>
      <w:r>
        <w:t xml:space="preserve">3.32 Einzelfallakten </w:t>
      </w:r>
      <w:r>
        <w:t>ü</w:t>
      </w:r>
      <w:r>
        <w:t>ber gew</w:t>
      </w:r>
      <w:r>
        <w:t>ä</w:t>
      </w:r>
      <w:r>
        <w:t>hrte Zusch</w:t>
      </w:r>
      <w:r>
        <w:t>ü</w:t>
      </w:r>
      <w:r>
        <w:t>sse, Darlehen, Unterst</w:t>
      </w:r>
      <w:r>
        <w:t>ü</w:t>
      </w:r>
      <w:r>
        <w:t>tzungen, Stipendien und Erziehungsbeihilfen</w:t>
      </w:r>
    </w:p>
    <w:p w14:paraId="3FED60DD" w14:textId="77777777" w:rsidR="00276289" w:rsidRDefault="00276289">
      <w:pPr>
        <w:pStyle w:val="RVfliesstext175nb"/>
        <w:widowControl/>
        <w:rPr>
          <w:rFonts w:cs="Calibri"/>
        </w:rPr>
      </w:pPr>
      <w:r>
        <w:t xml:space="preserve">3.33 Akten, auf deren </w:t>
      </w:r>
      <w:r>
        <w:t>Ü</w:t>
      </w:r>
      <w:r>
        <w:t>bernahme das Landesarchiv generell verzichtet hat.</w:t>
      </w:r>
    </w:p>
    <w:p w14:paraId="10A9D0B6" w14:textId="77777777" w:rsidR="00276289" w:rsidRDefault="00276289">
      <w:pPr>
        <w:pStyle w:val="RVfliesstext175nb"/>
        <w:widowControl/>
        <w:rPr>
          <w:rFonts w:cs="Calibri"/>
        </w:rPr>
      </w:pPr>
      <w:r>
        <w:t>3.4 Die dem Landesarchiv anzubietenden Akten sind in ein Verzeichnis aufzunehmen, aus dem Inhalt, Laufzeit und Aktenzeichen der Akte hervorgehen. Das Verzeichnis soll je eine Spalte f</w:t>
      </w:r>
      <w:r>
        <w:t>ü</w:t>
      </w:r>
      <w:r>
        <w:t xml:space="preserve">r </w:t>
      </w:r>
      <w:r>
        <w:t>„</w:t>
      </w:r>
      <w:r>
        <w:t>Bemerkungen der abliefernden Stelle</w:t>
      </w:r>
      <w:r>
        <w:t>“</w:t>
      </w:r>
      <w:r>
        <w:t xml:space="preserve"> und </w:t>
      </w:r>
      <w:r>
        <w:t>„</w:t>
      </w:r>
      <w:r>
        <w:t>Bemerkungen des Landesarchivs</w:t>
      </w:r>
      <w:r>
        <w:t>“</w:t>
      </w:r>
      <w:r>
        <w:t xml:space="preserve"> enthalten.</w:t>
      </w:r>
    </w:p>
    <w:p w14:paraId="5DB88219" w14:textId="77777777" w:rsidR="00276289" w:rsidRDefault="00276289">
      <w:pPr>
        <w:pStyle w:val="RVfliesstext175nb"/>
        <w:widowControl/>
        <w:rPr>
          <w:rFonts w:cs="Calibri"/>
        </w:rPr>
      </w:pPr>
      <w:r>
        <w:t>Die Verzeichnisse sind den zust</w:t>
      </w:r>
      <w:r>
        <w:t>ä</w:t>
      </w:r>
      <w:r>
        <w:t>ndigen Abteilungen des Landesarchivs in Abst</w:t>
      </w:r>
      <w:r>
        <w:t>ä</w:t>
      </w:r>
      <w:r>
        <w:t xml:space="preserve">nden bis zu 10 Jahren in zweifacher Ausfertigung zu </w:t>
      </w:r>
      <w:r>
        <w:t>ü</w:t>
      </w:r>
      <w:r>
        <w:t>bersenden. Eine der Ausfertigungen wird der abliefernden Stelle mit dem Vermerk des Archivs, welche Akten abzugeben sind und auf welches Schriftgut ver</w:t>
      </w:r>
      <w:r>
        <w:t>zichtet wird, zur</w:t>
      </w:r>
      <w:r>
        <w:t>ü</w:t>
      </w:r>
      <w:r>
        <w:t xml:space="preserve">ckgegeben. Sie dient nach Abgabe der Akten als </w:t>
      </w:r>
      <w:r>
        <w:t>Ü</w:t>
      </w:r>
      <w:r>
        <w:t>bergabequittung.</w:t>
      </w:r>
    </w:p>
    <w:p w14:paraId="0A63EAD4" w14:textId="77777777" w:rsidR="00276289" w:rsidRDefault="00276289">
      <w:pPr>
        <w:pStyle w:val="RVueberschrift285fz"/>
        <w:keepNext/>
        <w:keepLines/>
        <w:rPr>
          <w:rFonts w:cs="Calibri"/>
        </w:rPr>
      </w:pPr>
      <w:bookmarkStart w:id="5" w:name="10-48nr4nr4"/>
      <w:bookmarkEnd w:id="5"/>
      <w:r>
        <w:t>4 Vernichtung</w:t>
      </w:r>
    </w:p>
    <w:p w14:paraId="36347027" w14:textId="77777777" w:rsidR="00276289" w:rsidRDefault="00276289">
      <w:pPr>
        <w:pStyle w:val="RVfliesstext175nb"/>
        <w:widowControl/>
        <w:rPr>
          <w:rFonts w:cs="Calibri"/>
        </w:rPr>
      </w:pPr>
      <w:r>
        <w:t xml:space="preserve">4.1 Akten, deren Aufbewahrungsfrist abgelaufen ist und auf deren </w:t>
      </w:r>
      <w:r>
        <w:t>Ü</w:t>
      </w:r>
      <w:r>
        <w:t>bernahme das Landesarchiv generell oder im Einzelfall verzichtet hat, k</w:t>
      </w:r>
      <w:r>
        <w:t>ö</w:t>
      </w:r>
      <w:r>
        <w:t>nnen vernichtet werden.</w:t>
      </w:r>
    </w:p>
    <w:p w14:paraId="14BF574C" w14:textId="77777777" w:rsidR="00276289" w:rsidRDefault="00276289">
      <w:pPr>
        <w:pStyle w:val="RVfliesstext175nb"/>
        <w:widowControl/>
        <w:rPr>
          <w:rFonts w:cs="Calibri"/>
        </w:rPr>
      </w:pPr>
      <w:r>
        <w:t>4.2 Die Akten, die vernichtet werden k</w:t>
      </w:r>
      <w:r>
        <w:t>ö</w:t>
      </w:r>
      <w:r>
        <w:t>nnen, sind m</w:t>
      </w:r>
      <w:r>
        <w:t>ö</w:t>
      </w:r>
      <w:r>
        <w:t>glichst zerkleinert zu ver</w:t>
      </w:r>
      <w:r>
        <w:t>ä</w:t>
      </w:r>
      <w:r>
        <w:t>u</w:t>
      </w:r>
      <w:r>
        <w:t>ß</w:t>
      </w:r>
      <w:r>
        <w:t>ern. Steht der Dienststelle ein geeignetes Ger</w:t>
      </w:r>
      <w:r>
        <w:t>ä</w:t>
      </w:r>
      <w:r>
        <w:t>t zur Zerkleinerung nicht zur Verf</w:t>
      </w:r>
      <w:r>
        <w:t>ü</w:t>
      </w:r>
      <w:r>
        <w:t>gung, ist der Erwerber der Akten zu verpflichten, sie nicht zu ver</w:t>
      </w:r>
      <w:r>
        <w:t>ä</w:t>
      </w:r>
      <w:r>
        <w:t>u</w:t>
      </w:r>
      <w:r>
        <w:t>ß</w:t>
      </w:r>
      <w:r>
        <w:t>ern und niemandem zur Einsichtnahme zug</w:t>
      </w:r>
      <w:r>
        <w:t>ä</w:t>
      </w:r>
      <w:r>
        <w:t>nglich zu machen. Der Kaufvertrag ist mit der Verpflichtung abzuschlie</w:t>
      </w:r>
      <w:r>
        <w:t>ß</w:t>
      </w:r>
      <w:r>
        <w:t>en, dass der Erwerber die Akten unverz</w:t>
      </w:r>
      <w:r>
        <w:t>ü</w:t>
      </w:r>
      <w:r>
        <w:t>glich zerkleinert oder einstampfen l</w:t>
      </w:r>
      <w:r>
        <w:t>ä</w:t>
      </w:r>
      <w:r>
        <w:t>sst und die Vernichtung der Akten innerhalb einer Frist nachweist. Innerhalb des Kaufvertrages ist das Eigentum des Landes an den ver</w:t>
      </w:r>
      <w:r>
        <w:t>ä</w:t>
      </w:r>
      <w:r>
        <w:t>u</w:t>
      </w:r>
      <w:r>
        <w:t>ß</w:t>
      </w:r>
      <w:r>
        <w:t>erten Akten bis zu ihrer Vernichtung vorzubehalten.</w:t>
      </w:r>
    </w:p>
    <w:p w14:paraId="0B84AAE5" w14:textId="77777777" w:rsidR="00276289" w:rsidRDefault="00276289">
      <w:pPr>
        <w:pStyle w:val="RVfliesstext175nb"/>
        <w:widowControl/>
        <w:rPr>
          <w:rFonts w:cs="Calibri"/>
        </w:rPr>
      </w:pPr>
      <w:r>
        <w:t>Soweit in den Akten personenbezogene Daten enthalten sind, hat die Dienststelle die ordnungsgem</w:t>
      </w:r>
      <w:r>
        <w:t>äß</w:t>
      </w:r>
      <w:r>
        <w:t xml:space="preserve">e Vernichtung zu </w:t>
      </w:r>
      <w:r>
        <w:t>ü</w:t>
      </w:r>
      <w:r>
        <w:t>berwachen.</w:t>
      </w:r>
    </w:p>
    <w:p w14:paraId="7B9CD413" w14:textId="77777777" w:rsidR="00276289" w:rsidRDefault="00276289">
      <w:pPr>
        <w:pStyle w:val="RVfliesstext175nb"/>
        <w:widowControl/>
        <w:rPr>
          <w:rFonts w:cs="Calibri"/>
        </w:rPr>
      </w:pPr>
      <w:r>
        <w:t>4.3 Die Vernichtung der Akten und ihre Ver</w:t>
      </w:r>
      <w:r>
        <w:t>ä</w:t>
      </w:r>
      <w:r>
        <w:t>u</w:t>
      </w:r>
      <w:r>
        <w:t>ß</w:t>
      </w:r>
      <w:r>
        <w:t xml:space="preserve">erung sind in dem nach </w:t>
      </w:r>
      <w:hyperlink w:anchor="10-48nr4nr3" w:history="1">
        <w:r>
          <w:t>Nr.</w:t>
        </w:r>
      </w:hyperlink>
      <w:r>
        <w:rPr>
          <w:rFonts w:cs="Calibri"/>
        </w:rPr>
        <w:t xml:space="preserve"> 3.4</w:t>
      </w:r>
      <w:r>
        <w:t xml:space="preserve"> anzulegenden Verzeichnis zu vermerken. Im Fall der Ver</w:t>
      </w:r>
      <w:r>
        <w:t>ä</w:t>
      </w:r>
      <w:r>
        <w:t>u</w:t>
      </w:r>
      <w:r>
        <w:t>ß</w:t>
      </w:r>
      <w:r>
        <w:t>erung der Akten ist au</w:t>
      </w:r>
      <w:r>
        <w:t>ß</w:t>
      </w:r>
      <w:r>
        <w:t>erdem ihr Erwerber anzugeben.</w:t>
      </w:r>
    </w:p>
    <w:p w14:paraId="4A80E8A5" w14:textId="77777777" w:rsidR="00276289" w:rsidRDefault="00276289">
      <w:pPr>
        <w:pStyle w:val="RVueberschrift285fz"/>
        <w:keepNext/>
        <w:keepLines/>
        <w:rPr>
          <w:rFonts w:cs="Calibri"/>
        </w:rPr>
      </w:pPr>
      <w:bookmarkStart w:id="6" w:name="10-48nr4nr5"/>
      <w:bookmarkEnd w:id="6"/>
      <w:r>
        <w:t>5 Besondere Anwendungshinweise</w:t>
      </w:r>
    </w:p>
    <w:p w14:paraId="4E69D2A3" w14:textId="77777777" w:rsidR="00276289" w:rsidRDefault="00276289">
      <w:pPr>
        <w:pStyle w:val="RVfliesstext175nb"/>
        <w:widowControl/>
        <w:rPr>
          <w:rFonts w:cs="Calibri"/>
        </w:rPr>
      </w:pPr>
      <w:r>
        <w:t>Den Tr</w:t>
      </w:r>
      <w:r>
        <w:t>ä</w:t>
      </w:r>
      <w:r>
        <w:t>gern von Ersatzschulen wird empfohlen, nach diesen Richtlinien zu verfahren.</w:t>
      </w:r>
    </w:p>
    <w:p w14:paraId="4CC2A91B" w14:textId="77777777" w:rsidR="00276289" w:rsidRDefault="00276289">
      <w:pPr>
        <w:pStyle w:val="RVfliesstext175nb"/>
        <w:widowControl/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8432" w14:textId="77777777" w:rsidR="00276289" w:rsidRDefault="00276289">
      <w:pPr>
        <w:widowControl/>
      </w:pPr>
      <w:r>
        <w:rPr>
          <w:rFonts w:cs="Calibri"/>
        </w:rPr>
        <w:separator/>
      </w:r>
    </w:p>
  </w:endnote>
  <w:endnote w:type="continuationSeparator" w:id="0">
    <w:p w14:paraId="0B25F356" w14:textId="77777777" w:rsidR="00276289" w:rsidRDefault="00276289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AE8D" w14:textId="77777777" w:rsidR="00276289" w:rsidRDefault="00276289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CE92" w14:textId="77777777" w:rsidR="00276289" w:rsidRDefault="00276289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4119" w14:textId="77777777" w:rsidR="00276289" w:rsidRDefault="00276289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8DC6" w14:textId="77777777" w:rsidR="00276289" w:rsidRDefault="00276289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5BF76A93" w14:textId="77777777" w:rsidR="00276289" w:rsidRDefault="00276289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262E46C3" w14:textId="77777777" w:rsidR="00276289" w:rsidRDefault="00276289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bookmarkStart w:id="1" w:name="fn*"/>
      <w:bookmarkEnd w:id="1"/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26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1995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106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3A17"/>
    <w:rsid w:val="00276289"/>
    <w:rsid w:val="006D3A1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1E64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4201001081006363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2024-09-10T02:10:00Z</dcterms:created>
  <dcterms:modified xsi:type="dcterms:W3CDTF">2024-09-10T02:10:00Z</dcterms:modified>
</cp:coreProperties>
</file>