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F84CA" w14:textId="77777777" w:rsidR="000613D7" w:rsidRDefault="000613D7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8E958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4862521" w14:textId="77777777" w:rsidR="000613D7" w:rsidRDefault="000613D7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Berufsschulunterricht im Rahmen dualer Studieng</w:t>
            </w:r>
            <w:r>
              <w:rPr>
                <w:b/>
              </w:rPr>
              <w:t>ä</w:t>
            </w:r>
            <w:r>
              <w:rPr>
                <w:b/>
              </w:rPr>
              <w:t>nge geregelt</w:t>
            </w:r>
          </w:p>
          <w:p w14:paraId="394B4479" w14:textId="77777777" w:rsidR="000613D7" w:rsidRDefault="000613D7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Das duale Studium bietet jungen Erwachsenen die M</w:t>
            </w:r>
            <w:r>
              <w:t>ö</w:t>
            </w:r>
            <w:r>
              <w:t>glichkeit, gleichzeitig einen Berufsabschluss als auch einen Hochschulabschluss zu erwerben. Unter Anwendung der nachfolgenden Verwaltungsvorschrift kann der Unterricht f</w:t>
            </w:r>
            <w:r>
              <w:t>ü</w:t>
            </w:r>
            <w:r>
              <w:t>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lern, die zum Besuch der Fachklassen des dualen Systems berechtigt sind, auf einen zeitlich leistbaren Umfang reduziert werden. Voraussetzung dazu ist eine entsprechende inhaltliche Abstimmung der Hochschule mit dem Berufskolleg.</w:t>
            </w:r>
          </w:p>
        </w:tc>
      </w:tr>
    </w:tbl>
    <w:p w14:paraId="540A042C" w14:textId="77777777" w:rsidR="000613D7" w:rsidRDefault="000613D7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1.2</w:t>
      </w:r>
    </w:p>
    <w:p w14:paraId="1F4F006D" w14:textId="77777777" w:rsidR="000613D7" w:rsidRDefault="000613D7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>ngen des Berufskollegs (VVzAPO-BK);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 xml:space="preserve">nderung der VVzAPO-BK Anlage A </w:t>
      </w:r>
    </w:p>
    <w:p w14:paraId="34D0136A" w14:textId="77777777" w:rsidR="000613D7" w:rsidRDefault="000613D7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5. 2010 </w:t>
      </w:r>
      <w:r>
        <w:t>–</w:t>
      </w:r>
      <w:r>
        <w:t xml:space="preserve"> 313</w:t>
      </w:r>
    </w:p>
    <w:p w14:paraId="2D859DBB" w14:textId="77777777" w:rsidR="000613D7" w:rsidRDefault="000613D7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Weiterbildung, Wissenschaft und Forschung v. 19. 6. 2000 (</w:t>
      </w:r>
      <w:r>
        <w:t xml:space="preserve">BASS 13 </w:t>
      </w:r>
      <w:r>
        <w:t>–</w:t>
      </w:r>
      <w:r>
        <w:t xml:space="preserve"> 33 Nr. 1.2)</w:t>
      </w:r>
    </w:p>
    <w:p w14:paraId="7A00C8B3" w14:textId="77777777" w:rsidR="000613D7" w:rsidRDefault="000613D7">
      <w:pPr>
        <w:pStyle w:val="V-Normaltext"/>
        <w:widowControl/>
        <w:rPr>
          <w:rFonts w:cs="Calibri"/>
        </w:rPr>
      </w:pPr>
      <w:r>
        <w:t xml:space="preserve">Die Verwaltungsvorschriften zu </w:t>
      </w:r>
      <w:r>
        <w:t>§</w:t>
      </w:r>
      <w:r>
        <w:t xml:space="preserve"> 5 APO-BK Anlage A (Bezugserlass) werden wie folgt erg</w:t>
      </w:r>
      <w:r>
        <w:t>ä</w:t>
      </w:r>
      <w:r>
        <w:t>nzt:</w:t>
      </w:r>
    </w:p>
    <w:p w14:paraId="0B207CF5" w14:textId="77777777" w:rsidR="000613D7" w:rsidRDefault="000613D7">
      <w:pPr>
        <w:pStyle w:val="V-Normaltext"/>
        <w:widowControl/>
        <w:rPr>
          <w:rFonts w:cs="Calibri"/>
        </w:rPr>
      </w:pPr>
      <w:r>
        <w:t>Nach VV 5.5 zu Abs. 5 wird folgende VV 5.6 zu Abs. 6 angef</w:t>
      </w:r>
      <w:r>
        <w:t>ü</w:t>
      </w:r>
      <w:r>
        <w:t>gt:</w:t>
      </w:r>
    </w:p>
    <w:p w14:paraId="78667547" w14:textId="77777777" w:rsidR="000613D7" w:rsidRDefault="000613D7">
      <w:pPr>
        <w:pStyle w:val="V-Normaltext"/>
        <w:widowControl/>
        <w:spacing w:before="10" w:after="10"/>
        <w:jc w:val="center"/>
        <w:rPr>
          <w:rFonts w:cs="Calibri"/>
        </w:rPr>
      </w:pPr>
      <w:r>
        <w:t>„</w:t>
      </w:r>
      <w:r>
        <w:t>5.6 zu Abs.6</w:t>
      </w:r>
    </w:p>
    <w:p w14:paraId="0DAE206E" w14:textId="77777777" w:rsidR="000613D7" w:rsidRDefault="000613D7">
      <w:pPr>
        <w:pStyle w:val="V-Normaltext"/>
        <w:widowControl/>
        <w:rPr>
          <w:rFonts w:cs="Calibri"/>
        </w:rPr>
      </w:pPr>
      <w:r>
        <w:t>Zur Sicherstellung der umfassenden Handlungskompetenz der Sch</w:t>
      </w:r>
      <w:r>
        <w:t>ü</w:t>
      </w:r>
      <w:r>
        <w:t>lerinnen und Sch</w:t>
      </w:r>
      <w:r>
        <w:t>ü</w:t>
      </w:r>
      <w:r>
        <w:t>ler, die im Rahmen eines dualen Studiums zum Besuch der Fachklassen berechtigt sind, ist berufsbezogene und berufs</w:t>
      </w:r>
      <w:r>
        <w:t>ü</w:t>
      </w:r>
      <w:r>
        <w:t>bergreifende Kompetenzentwicklung und Kompetenzf</w:t>
      </w:r>
      <w:r>
        <w:t>ö</w:t>
      </w:r>
      <w:r>
        <w:t xml:space="preserve">rderung notwendig. </w:t>
      </w:r>
    </w:p>
    <w:p w14:paraId="6C1EC458" w14:textId="77777777" w:rsidR="000613D7" w:rsidRDefault="000613D7">
      <w:pPr>
        <w:pStyle w:val="V-Normaltext"/>
        <w:widowControl/>
        <w:rPr>
          <w:rFonts w:cs="Calibri"/>
        </w:rPr>
      </w:pPr>
      <w:r>
        <w:t>Der Unterricht an der Berufsschule kann von den Berufskollegs in Abstimmung mit der Hochschule f</w:t>
      </w:r>
      <w:r>
        <w:t>ü</w:t>
      </w:r>
      <w:r>
        <w:t>r die Studierenden auf einen zeitlich leistbaren Umfang reduziert werden. Bei der Anzeige entsprechender Kooperationen ist der oberen Schulaufsicht darzustellen, wie sowohl berufsbezogene als auch deutsch/kommunikative, ethisch/religi</w:t>
      </w:r>
      <w:r>
        <w:t>ö</w:t>
      </w:r>
      <w:r>
        <w:t>se, politisch/gesellschaftliche und gesundheitsf</w:t>
      </w:r>
      <w:r>
        <w:t>ö</w:t>
      </w:r>
      <w:r>
        <w:t>rdernde Aspekte durch eine entsprechende Abstimmung der Didaktischen Jahresplanung des Berufskollegs, der betrieblichen Ausbildungsplanung und der Studieninhalte der Hochschule ber</w:t>
      </w:r>
      <w:r>
        <w:t>ü</w:t>
      </w:r>
      <w:r>
        <w:t>cksichtigt werden.</w:t>
      </w:r>
      <w:r>
        <w:t>“</w:t>
      </w:r>
      <w:r>
        <w:t xml:space="preserve"> </w:t>
      </w:r>
    </w:p>
    <w:p w14:paraId="735F607F" w14:textId="77777777" w:rsidR="000613D7" w:rsidRDefault="000613D7">
      <w:pPr>
        <w:pStyle w:val="V-Normaltext"/>
        <w:widowControl/>
      </w:pPr>
    </w:p>
    <w:p w14:paraId="2D05E425" w14:textId="77777777" w:rsidR="000613D7" w:rsidRDefault="000613D7">
      <w:pPr>
        <w:pStyle w:val="V-Normaltext"/>
        <w:widowControl/>
        <w:jc w:val="right"/>
      </w:pPr>
      <w:r>
        <w:rPr>
          <w:rFonts w:cs="Calibri"/>
        </w:rPr>
        <w:t>ABl. NRW. 07/10 S. 353</w:t>
      </w:r>
    </w:p>
    <w:p w14:paraId="560E2A98" w14:textId="77777777" w:rsidR="000613D7" w:rsidRDefault="000613D7">
      <w:pPr>
        <w:pStyle w:val="V-Normaltext"/>
        <w:widowControl/>
        <w:rPr>
          <w:rFonts w:cs="Calibri"/>
        </w:rPr>
      </w:pPr>
    </w:p>
    <w:p w14:paraId="7884EA2C" w14:textId="77777777" w:rsidR="000613D7" w:rsidRDefault="000613D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88AC2" w14:textId="77777777" w:rsidR="000613D7" w:rsidRDefault="000613D7">
      <w:r>
        <w:separator/>
      </w:r>
    </w:p>
  </w:endnote>
  <w:endnote w:type="continuationSeparator" w:id="0">
    <w:p w14:paraId="1FF73FCF" w14:textId="77777777" w:rsidR="000613D7" w:rsidRDefault="00061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E965F" w14:textId="77777777" w:rsidR="000613D7" w:rsidRDefault="000613D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DDB8B35" w14:textId="77777777" w:rsidR="000613D7" w:rsidRDefault="000613D7">
    <w:pPr>
      <w:widowControl/>
      <w:spacing w:before="10" w:after="10" w:line="180" w:lineRule="exact"/>
    </w:pPr>
  </w:p>
  <w:p w14:paraId="1A786226" w14:textId="77777777" w:rsidR="000613D7" w:rsidRDefault="000613D7">
    <w:pPr>
      <w:widowControl/>
      <w:spacing w:before="10" w:after="10" w:line="180" w:lineRule="exact"/>
      <w:rPr>
        <w:rFonts w:cs="Calibri"/>
      </w:rPr>
    </w:pPr>
  </w:p>
  <w:p w14:paraId="175A02E1" w14:textId="77777777" w:rsidR="000613D7" w:rsidRDefault="000613D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F3257" w14:textId="77777777" w:rsidR="000613D7" w:rsidRDefault="000613D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1830CE4" w14:textId="77777777" w:rsidR="000613D7" w:rsidRDefault="000613D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52FE0"/>
    <w:rsid w:val="000613D7"/>
    <w:rsid w:val="00752FE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EF20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