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96786" w14:textId="77777777" w:rsidR="00530537" w:rsidRDefault="00530537">
      <w:pPr>
        <w:pStyle w:val="Bass-Nr"/>
        <w:keepNext/>
        <w:rPr>
          <w:rFonts w:cs="Calibri"/>
        </w:rPr>
      </w:pPr>
      <w:r>
        <w:t>21-22 Nr. 22</w:t>
      </w:r>
    </w:p>
    <w:p w14:paraId="4415476B" w14:textId="77777777" w:rsidR="00530537" w:rsidRDefault="00530537">
      <w:pPr>
        <w:pStyle w:val="RVueberschrift1100fz"/>
        <w:keepNext/>
        <w:keepLines/>
        <w:rPr>
          <w:rFonts w:cs="Calibri"/>
        </w:rPr>
      </w:pPr>
      <w:bookmarkStart w:id="0" w:name="21-22nr22"/>
      <w:bookmarkEnd w:id="0"/>
      <w:r>
        <w:t>Verg</w:t>
      </w:r>
      <w:r>
        <w:t>ü</w:t>
      </w:r>
      <w:r>
        <w:t xml:space="preserve">tung der Mehrarbeit </w:t>
      </w:r>
      <w:r>
        <w:rPr>
          <w:rFonts w:cs="Calibri"/>
        </w:rPr>
        <w:br/>
      </w:r>
      <w:r>
        <w:t xml:space="preserve">und des nebenamtlichen Unterrichts </w:t>
      </w:r>
      <w:r>
        <w:rPr>
          <w:rFonts w:cs="Calibri"/>
        </w:rPr>
        <w:br/>
      </w:r>
      <w:r>
        <w:t xml:space="preserve">im Schuldienst; </w:t>
      </w:r>
      <w:r>
        <w:rPr>
          <w:rFonts w:cs="Calibri"/>
        </w:rPr>
        <w:br/>
      </w:r>
      <w:r>
        <w:t>Verg</w:t>
      </w:r>
      <w:r>
        <w:t>ü</w:t>
      </w:r>
      <w:r>
        <w:t>tungss</w:t>
      </w:r>
      <w:r>
        <w:t>ä</w:t>
      </w:r>
      <w:r>
        <w:t>tze</w:t>
      </w:r>
    </w:p>
    <w:p w14:paraId="7F61B640" w14:textId="77777777" w:rsidR="00530537" w:rsidRDefault="00530537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rPr>
          <w:rFonts w:cs="Calibri"/>
        </w:rPr>
        <w:br/>
      </w:r>
      <w:r>
        <w:t>v</w:t>
      </w:r>
      <w:r>
        <w:rPr>
          <w:rFonts w:cs="Calibri"/>
        </w:rPr>
        <w:t>.</w:t>
      </w:r>
      <w:r>
        <w:t xml:space="preserve"> 22</w:t>
      </w:r>
      <w:r>
        <w:rPr>
          <w:rFonts w:cs="Calibri"/>
        </w:rPr>
        <w:t>.</w:t>
      </w:r>
      <w:r>
        <w:t>08</w:t>
      </w:r>
      <w:r>
        <w:rPr>
          <w:rFonts w:cs="Calibri"/>
        </w:rPr>
        <w:t>.</w:t>
      </w:r>
      <w:r>
        <w:t xml:space="preserve">1980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507</w:t>
      </w:r>
      <w:r>
        <w:rPr>
          <w:rFonts w:cs="Calibri"/>
        </w:rPr>
        <w:t>)</w:t>
      </w:r>
      <w:r>
        <w:rPr>
          <w:rStyle w:val="Funotenzeichen"/>
          <w:rFonts w:ascii="Arial" w:hAnsi="Arial" w:cs="Arial"/>
          <w:sz w:val="17"/>
        </w:rPr>
        <w:footnoteReference w:id="1"/>
      </w:r>
    </w:p>
    <w:p w14:paraId="6299A20B" w14:textId="77777777" w:rsidR="00530537" w:rsidRDefault="00530537">
      <w:pPr>
        <w:pStyle w:val="RVueberschrift285fz"/>
        <w:keepNext/>
        <w:keepLines/>
        <w:rPr>
          <w:rFonts w:cs="Arial"/>
        </w:rPr>
      </w:pPr>
      <w:r>
        <w:t xml:space="preserve">I. </w:t>
      </w:r>
      <w:r>
        <w:rPr>
          <w:rFonts w:cs="Arial"/>
        </w:rPr>
        <w:br/>
      </w:r>
      <w:r>
        <w:t>Mehrarbeit im Schuldienst</w:t>
      </w:r>
    </w:p>
    <w:p w14:paraId="3AEA764F" w14:textId="77777777" w:rsidR="00530537" w:rsidRDefault="00530537">
      <w:pPr>
        <w:pStyle w:val="RVfliesstext175nb"/>
        <w:widowControl/>
        <w:rPr>
          <w:rFonts w:cs="Arial"/>
        </w:rPr>
      </w:pPr>
      <w:r>
        <w:t>Gem</w:t>
      </w:r>
      <w:r>
        <w:t>äß</w:t>
      </w:r>
      <w:r>
        <w:t xml:space="preserve"> </w:t>
      </w:r>
      <w:r>
        <w:rPr>
          <w:rFonts w:cs="Arial"/>
        </w:rPr>
        <w:t>§</w:t>
      </w:r>
      <w:r>
        <w:t xml:space="preserve"> 4 der </w:t>
      </w:r>
      <w:hyperlink r:id="rId7" w:history="1">
        <w:r>
          <w:t>Mehrarbeitsvergütungsverordnung</w:t>
        </w:r>
      </w:hyperlink>
      <w:r>
        <w:rPr>
          <w:rFonts w:cs="Arial"/>
        </w:rPr>
        <w:t xml:space="preserve"> in der Fassung der Bekanntmachung vom 03</w:t>
      </w:r>
      <w:r>
        <w:t>.</w:t>
      </w:r>
      <w:r>
        <w:rPr>
          <w:rFonts w:cs="Arial"/>
        </w:rPr>
        <w:t>12</w:t>
      </w:r>
      <w:r>
        <w:t>.</w:t>
      </w:r>
      <w:r>
        <w:rPr>
          <w:rFonts w:cs="Arial"/>
        </w:rPr>
        <w:t xml:space="preserve">1998 </w:t>
      </w:r>
      <w:r>
        <w:t>(</w:t>
      </w:r>
      <w:r>
        <w:rPr>
          <w:rFonts w:cs="Arial"/>
        </w:rPr>
        <w:t>BGBl</w:t>
      </w:r>
      <w:r>
        <w:t>.</w:t>
      </w:r>
      <w:r>
        <w:rPr>
          <w:rFonts w:cs="Arial"/>
        </w:rPr>
        <w:t xml:space="preserve"> I S</w:t>
      </w:r>
      <w:r>
        <w:t>.</w:t>
      </w:r>
      <w:r>
        <w:rPr>
          <w:rFonts w:cs="Arial"/>
        </w:rPr>
        <w:t xml:space="preserve"> 3494</w:t>
      </w:r>
      <w:r>
        <w:t>)</w:t>
      </w:r>
      <w:r>
        <w:rPr>
          <w:rFonts w:cs="Arial"/>
        </w:rPr>
        <w:t>,</w:t>
      </w:r>
      <w:r>
        <w:t xml:space="preserve"> die zuletzt durch Gesetz vom 09</w:t>
      </w:r>
      <w:r>
        <w:rPr>
          <w:rFonts w:cs="Arial"/>
        </w:rPr>
        <w:t>.</w:t>
      </w:r>
      <w:r>
        <w:t>11</w:t>
      </w:r>
      <w:r>
        <w:rPr>
          <w:rFonts w:cs="Arial"/>
        </w:rPr>
        <w:t>.</w:t>
      </w:r>
      <w:r>
        <w:t xml:space="preserve">2004 </w:t>
      </w:r>
      <w:r>
        <w:rPr>
          <w:rFonts w:cs="Arial"/>
        </w:rPr>
        <w:t>(</w:t>
      </w:r>
      <w:r>
        <w:t>BGBl</w:t>
      </w:r>
      <w:r>
        <w:rPr>
          <w:rFonts w:cs="Arial"/>
        </w:rPr>
        <w:t>.</w:t>
      </w:r>
      <w:r>
        <w:t xml:space="preserve"> I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2774</w:t>
      </w:r>
      <w:r>
        <w:rPr>
          <w:rFonts w:cs="Arial"/>
        </w:rPr>
        <w:t>)</w:t>
      </w:r>
      <w:r>
        <w:rPr>
          <w:rStyle w:val="Funotenzeichen"/>
          <w:rFonts w:ascii="Arial" w:hAnsi="Arial" w:cs="Calibri"/>
          <w:sz w:val="15"/>
        </w:rPr>
        <w:footnoteReference w:id="2"/>
      </w:r>
      <w:r>
        <w:t xml:space="preserve"> ge</w:t>
      </w:r>
      <w:r>
        <w:t>ä</w:t>
      </w:r>
      <w:r>
        <w:t>ndert worden ist</w:t>
      </w:r>
      <w:r>
        <w:rPr>
          <w:rFonts w:cs="Arial"/>
        </w:rPr>
        <w:t>,</w:t>
      </w:r>
      <w:r>
        <w:t xml:space="preserve"> in Verbindung mit </w:t>
      </w:r>
      <w:r>
        <w:rPr>
          <w:rFonts w:cs="Arial"/>
        </w:rPr>
        <w:t>§</w:t>
      </w:r>
      <w:r>
        <w:t xml:space="preserve"> 92 Absatz 1 Nummer 3 des </w:t>
      </w:r>
      <w:hyperlink r:id="rId8" w:anchor="det0" w:history="1">
        <w:r>
          <w:t>Landesbesoldungsgesetzes</w:t>
        </w:r>
      </w:hyperlink>
      <w:r>
        <w:rPr>
          <w:rFonts w:cs="Arial"/>
        </w:rPr>
        <w:t xml:space="preserve"> vom 14</w:t>
      </w:r>
      <w:r>
        <w:t>.</w:t>
      </w:r>
      <w:r>
        <w:rPr>
          <w:rFonts w:cs="Arial"/>
        </w:rPr>
        <w:t>06</w:t>
      </w:r>
      <w:r>
        <w:t>.</w:t>
      </w:r>
      <w:r>
        <w:rPr>
          <w:rFonts w:cs="Arial"/>
        </w:rPr>
        <w:t xml:space="preserve">2016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310</w:t>
      </w:r>
      <w:r>
        <w:t>,</w:t>
      </w:r>
      <w:r>
        <w:rPr>
          <w:rFonts w:cs="Arial"/>
        </w:rPr>
        <w:t xml:space="preserve"> ber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342</w:t>
      </w:r>
      <w:r>
        <w:t>)</w:t>
      </w:r>
      <w:r>
        <w:rPr>
          <w:rFonts w:cs="Arial"/>
        </w:rPr>
        <w:t xml:space="preserve"> erh</w:t>
      </w:r>
      <w:r>
        <w:rPr>
          <w:rFonts w:cs="Arial"/>
        </w:rPr>
        <w:t>ö</w:t>
      </w:r>
      <w:r>
        <w:rPr>
          <w:rFonts w:cs="Arial"/>
        </w:rPr>
        <w:t>hen sich die Stundens</w:t>
      </w:r>
      <w:r>
        <w:rPr>
          <w:rFonts w:cs="Arial"/>
        </w:rPr>
        <w:t>ä</w:t>
      </w:r>
      <w:r>
        <w:rPr>
          <w:rFonts w:cs="Arial"/>
        </w:rPr>
        <w:t>tze f</w:t>
      </w:r>
      <w:r>
        <w:rPr>
          <w:rFonts w:cs="Arial"/>
        </w:rPr>
        <w:t>ü</w:t>
      </w:r>
      <w:r>
        <w:rPr>
          <w:rFonts w:cs="Arial"/>
        </w:rPr>
        <w:t>r die Verg</w:t>
      </w:r>
      <w:r>
        <w:rPr>
          <w:rFonts w:cs="Arial"/>
        </w:rPr>
        <w:t>ü</w:t>
      </w:r>
      <w:r>
        <w:rPr>
          <w:rFonts w:cs="Arial"/>
        </w:rPr>
        <w:t>tung von Mehrarbeit zum 1</w:t>
      </w:r>
      <w:r>
        <w:t>.</w:t>
      </w:r>
      <w:r>
        <w:rPr>
          <w:rFonts w:cs="Arial"/>
        </w:rPr>
        <w:t xml:space="preserve"> Dezember 2022</w:t>
      </w:r>
      <w:r>
        <w:t>.</w:t>
      </w:r>
    </w:p>
    <w:tbl>
      <w:tblPr>
        <w:tblW w:w="5000" w:type="pct"/>
        <w:tblLayout w:type="fixed"/>
        <w:tblCellMar>
          <w:top w:w="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4159"/>
        <w:gridCol w:w="807"/>
      </w:tblGrid>
      <w:tr w:rsidR="00000000" w14:paraId="0B9939D6" w14:textId="77777777">
        <w:trPr>
          <w:trHeight w:val="250"/>
          <w:tblHeader/>
        </w:trPr>
        <w:tc>
          <w:tcPr>
            <w:tcW w:w="48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4FC98745" w14:textId="77777777" w:rsidR="00530537" w:rsidRDefault="00530537">
            <w:pPr>
              <w:pStyle w:val="RVtabellenanker"/>
              <w:widowControl/>
            </w:pPr>
          </w:p>
          <w:p w14:paraId="0157425A" w14:textId="77777777" w:rsidR="00530537" w:rsidRDefault="00530537">
            <w:pPr>
              <w:pStyle w:val="RVtabellen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>Verg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tung</w:t>
            </w:r>
          </w:p>
        </w:tc>
      </w:tr>
      <w:tr w:rsidR="00000000" w14:paraId="3C5FC2FF" w14:textId="77777777">
        <w:trPr>
          <w:trHeight w:val="530"/>
          <w:tblHeader/>
        </w:trPr>
        <w:tc>
          <w:tcPr>
            <w:tcW w:w="4091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4C70A2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</w:pP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89A412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gem</w:t>
            </w:r>
            <w:r>
              <w:rPr>
                <w:rFonts w:cs="Calibri"/>
              </w:rPr>
              <w:t>äß</w:t>
            </w:r>
            <w:r>
              <w:rPr>
                <w:rFonts w:cs="Calibri"/>
              </w:rPr>
              <w:t xml:space="preserve"> </w:t>
            </w:r>
            <w:r>
              <w:br/>
            </w: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4 Abs. 3</w:t>
            </w:r>
          </w:p>
          <w:p w14:paraId="3E6824FD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MVerg</w:t>
            </w:r>
          </w:p>
        </w:tc>
      </w:tr>
      <w:tr w:rsidR="00000000" w14:paraId="656D1EE8" w14:textId="77777777">
        <w:trPr>
          <w:trHeight w:val="210"/>
        </w:trPr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C8763F" w14:textId="77777777" w:rsidR="00530537" w:rsidRDefault="00530537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 Lehrkr</w:t>
            </w:r>
            <w:r>
              <w:t>ä</w:t>
            </w:r>
            <w:r>
              <w:t>fte an Grundschulen und Hauptschulen</w:t>
            </w:r>
          </w:p>
        </w:tc>
      </w:tr>
      <w:tr w:rsidR="00000000" w14:paraId="2658A93D" w14:textId="77777777">
        <w:trPr>
          <w:trHeight w:val="210"/>
        </w:trPr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47AA30" w14:textId="77777777" w:rsidR="00530537" w:rsidRDefault="00530537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Beamtinnen und Beamte</w:t>
            </w:r>
          </w:p>
        </w:tc>
      </w:tr>
      <w:tr w:rsidR="00000000" w14:paraId="496B0475" w14:textId="77777777">
        <w:trPr>
          <w:trHeight w:val="3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614CAC" w14:textId="77777777" w:rsidR="00530537" w:rsidRDefault="00530537">
            <w:pPr>
              <w:pStyle w:val="RVtabelle75nl"/>
              <w:rPr>
                <w:rFonts w:cs="Arial"/>
              </w:rPr>
            </w:pPr>
            <w:r>
              <w:t>1.1 Lehrkr</w:t>
            </w:r>
            <w:r>
              <w:t>ä</w:t>
            </w:r>
            <w:r>
              <w:t>fte, deren Eingangsamt der Besoldungsgruppe A 12 zugeordnet ist,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C72F36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 xml:space="preserve">26,32 </w:t>
            </w:r>
            <w:r>
              <w:rPr>
                <w:rFonts w:cs="Calibri"/>
              </w:rPr>
              <w:t>€</w:t>
            </w:r>
          </w:p>
        </w:tc>
      </w:tr>
      <w:tr w:rsidR="00000000" w14:paraId="092EB9E4" w14:textId="77777777">
        <w:trPr>
          <w:trHeight w:val="3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96CE2D" w14:textId="77777777" w:rsidR="00530537" w:rsidRDefault="00530537">
            <w:pPr>
              <w:pStyle w:val="RVtabelle75nl"/>
              <w:rPr>
                <w:rFonts w:cs="Arial"/>
              </w:rPr>
            </w:pPr>
            <w:r>
              <w:t>1.2 Lehrkr</w:t>
            </w:r>
            <w:r>
              <w:t>ä</w:t>
            </w:r>
            <w:r>
              <w:t>fte, deren Eingangsamt nicht mindestens der Besol</w:t>
            </w:r>
            <w:r>
              <w:t>dungsgruppe A 12 zugeordnet ist,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706DBD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 xml:space="preserve">21,24 </w:t>
            </w:r>
            <w:r>
              <w:rPr>
                <w:rFonts w:cs="Calibri"/>
              </w:rPr>
              <w:t>€</w:t>
            </w:r>
          </w:p>
        </w:tc>
      </w:tr>
      <w:tr w:rsidR="00000000" w14:paraId="293B0153" w14:textId="77777777">
        <w:trPr>
          <w:trHeight w:val="210"/>
        </w:trPr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9E0537" w14:textId="77777777" w:rsidR="00530537" w:rsidRDefault="00530537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Tarifbesch</w:t>
            </w:r>
            <w:r>
              <w:t>ä</w:t>
            </w:r>
            <w:r>
              <w:t>ftigte</w:t>
            </w:r>
          </w:p>
        </w:tc>
      </w:tr>
      <w:tr w:rsidR="00000000" w14:paraId="1DC84A02" w14:textId="77777777">
        <w:trPr>
          <w:trHeight w:val="51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AE87AC" w14:textId="77777777" w:rsidR="00530537" w:rsidRDefault="00530537">
            <w:pPr>
              <w:pStyle w:val="RVtabelle75nl"/>
            </w:pPr>
            <w:r>
              <w:t>1.3 Lehrkr</w:t>
            </w:r>
            <w:r>
              <w:t>ä</w:t>
            </w:r>
            <w:r>
              <w:t>fte mit Lehrbef</w:t>
            </w:r>
            <w:r>
              <w:t>ä</w:t>
            </w:r>
            <w:r>
              <w:t>higung f</w:t>
            </w:r>
            <w:r>
              <w:t>ü</w:t>
            </w:r>
            <w:r>
              <w:t>r ein Lehramt, f</w:t>
            </w:r>
            <w:r>
              <w:t>ü</w:t>
            </w:r>
            <w:r>
              <w:t>r das die Besoldungsgruppe A 12 Eingangsamt ist, oder mit der Bef</w:t>
            </w:r>
            <w:r>
              <w:t>ä</w:t>
            </w:r>
            <w:r>
              <w:t>higung zum Sportlehrer (</w:t>
            </w:r>
            <w:r>
              <w:t>§</w:t>
            </w:r>
            <w:r>
              <w:t xml:space="preserve"> 93 a </w:t>
            </w:r>
            <w:hyperlink r:id="rId9" w:history="1">
              <w:r>
                <w:t>LVO</w:t>
              </w:r>
            </w:hyperlink>
            <w:r>
              <w:rPr>
                <w:rFonts w:cs="Arial"/>
              </w:rPr>
              <w:t>)</w:t>
            </w:r>
            <w:hyperlink w:anchor="FN2" w:history="1">
              <w:r>
                <w:rPr>
                  <w:rStyle w:val="FNhochgestelltblau"/>
                </w:rPr>
                <w:t>2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97A601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26,32 </w:t>
            </w:r>
            <w:r>
              <w:t>€</w:t>
            </w:r>
          </w:p>
        </w:tc>
      </w:tr>
      <w:tr w:rsidR="00000000" w14:paraId="1459D744" w14:textId="77777777">
        <w:trPr>
          <w:trHeight w:val="3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CBF9CE" w14:textId="77777777" w:rsidR="00530537" w:rsidRDefault="00530537">
            <w:pPr>
              <w:pStyle w:val="RVtabelle75nl"/>
            </w:pPr>
            <w:r>
              <w:rPr>
                <w:rFonts w:cs="Arial"/>
              </w:rPr>
              <w:t>1.4 Religionslehrkr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 mit abgeschlossener theologischer Ausbildung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3B2DD3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26,32 </w:t>
            </w:r>
            <w:r>
              <w:t>€</w:t>
            </w:r>
          </w:p>
        </w:tc>
      </w:tr>
      <w:tr w:rsidR="00000000" w14:paraId="1E12CFFB" w14:textId="77777777">
        <w:trPr>
          <w:trHeight w:val="145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A3F67C" w14:textId="77777777" w:rsidR="00530537" w:rsidRDefault="00530537">
            <w:pPr>
              <w:pStyle w:val="RVtabelle75nl"/>
            </w:pPr>
            <w:r>
              <w:rPr>
                <w:rFonts w:cs="Arial"/>
              </w:rPr>
              <w:t>1.5 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 mit abgeschlossenem Studium an einer wissenschaftlichen Hochschule (Staatspr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ein Lehramt), die damit aufgrund ihres Studiums 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higkeit zum Unterrichten in mindestens zwei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chern haben und die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berwiegend Unterricht in mindestens einem ihrem Studium entsprechenden wissenschaftlichen Fach erteilen.</w:t>
            </w:r>
          </w:p>
          <w:p w14:paraId="0E33E863" w14:textId="77777777" w:rsidR="00530537" w:rsidRDefault="00530537">
            <w:pPr>
              <w:pStyle w:val="RVtabelle75nl"/>
            </w:pPr>
            <w:r>
              <w:rPr>
                <w:rFonts w:cs="Arial"/>
              </w:rPr>
              <w:t>(Diese Fallgruppe gilt nicht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Diplom-Dolmetscherinnen/Diplom-Dolmetscher und Diplom-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bersetzerinnen/Diplom-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bersetzer.)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66E2AC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26,32 </w:t>
            </w:r>
            <w:r>
              <w:t>€</w:t>
            </w:r>
          </w:p>
        </w:tc>
      </w:tr>
      <w:tr w:rsidR="00000000" w14:paraId="6E08F319" w14:textId="77777777">
        <w:trPr>
          <w:trHeight w:val="55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C18E73" w14:textId="77777777" w:rsidR="00530537" w:rsidRDefault="00530537">
            <w:pPr>
              <w:pStyle w:val="RVtabelle75nl"/>
            </w:pPr>
            <w:r>
              <w:rPr>
                <w:rFonts w:cs="Arial"/>
              </w:rPr>
              <w:t>1.6 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fte, die nicht von den F</w:t>
            </w:r>
            <w:r>
              <w:rPr>
                <w:rFonts w:cs="Arial"/>
              </w:rPr>
              <w:t>allgruppen 1.3 bis 1.5 erfasst werden,</w:t>
            </w:r>
          </w:p>
          <w:p w14:paraId="6682A971" w14:textId="77777777" w:rsidR="00530537" w:rsidRDefault="00530537">
            <w:pPr>
              <w:pStyle w:val="RVtabelle75nl"/>
            </w:pPr>
            <w:r>
              <w:rPr>
                <w:rFonts w:cs="Arial"/>
              </w:rPr>
              <w:t>1.6.1 bei einer Eingruppierung in die Entgeltgruppe 10 oder 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3DAB41D2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21,24 </w:t>
            </w:r>
            <w:r>
              <w:t>€</w:t>
            </w:r>
          </w:p>
        </w:tc>
      </w:tr>
      <w:tr w:rsidR="00000000" w14:paraId="4A2E29DD" w14:textId="77777777">
        <w:trPr>
          <w:trHeight w:val="21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62EFCE" w14:textId="77777777" w:rsidR="00530537" w:rsidRDefault="00530537">
            <w:pPr>
              <w:pStyle w:val="RVtabelle75nl"/>
            </w:pPr>
            <w:r>
              <w:rPr>
                <w:rFonts w:cs="Arial"/>
              </w:rPr>
              <w:t>1.6.2 bei einer Eingruppierung in die Entgeltgruppe 8 oder 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969711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16,64 </w:t>
            </w:r>
            <w:r>
              <w:t>€</w:t>
            </w:r>
          </w:p>
        </w:tc>
      </w:tr>
      <w:tr w:rsidR="00000000" w14:paraId="3523BCCD" w14:textId="77777777">
        <w:trPr>
          <w:trHeight w:val="210"/>
        </w:trPr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08D016" w14:textId="77777777" w:rsidR="00530537" w:rsidRDefault="00530537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 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 an Realschulen und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rderschulen</w:t>
            </w:r>
          </w:p>
        </w:tc>
      </w:tr>
      <w:tr w:rsidR="00000000" w14:paraId="4E9C09F1" w14:textId="77777777">
        <w:trPr>
          <w:trHeight w:val="210"/>
        </w:trPr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0ED206" w14:textId="77777777" w:rsidR="00530537" w:rsidRDefault="00530537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Beamtinnen und Beamte</w:t>
            </w:r>
          </w:p>
        </w:tc>
      </w:tr>
      <w:tr w:rsidR="00000000" w14:paraId="41E0057F" w14:textId="77777777">
        <w:trPr>
          <w:trHeight w:val="3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36539E" w14:textId="77777777" w:rsidR="00530537" w:rsidRDefault="00530537">
            <w:pPr>
              <w:pStyle w:val="RVtabelle75nl"/>
            </w:pPr>
            <w:r>
              <w:rPr>
                <w:rFonts w:cs="Arial"/>
              </w:rPr>
              <w:t>2.1 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fte, deren Eingangsamt der Besoldungsgruppe A 13 zugeordnet ist,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32B1E8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31,25 </w:t>
            </w:r>
            <w:r>
              <w:t>€</w:t>
            </w:r>
          </w:p>
        </w:tc>
      </w:tr>
      <w:tr w:rsidR="00000000" w14:paraId="56B85294" w14:textId="77777777">
        <w:trPr>
          <w:trHeight w:val="3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3FA869" w14:textId="77777777" w:rsidR="00530537" w:rsidRDefault="00530537">
            <w:pPr>
              <w:pStyle w:val="RVtabelle75nl"/>
            </w:pPr>
            <w:r>
              <w:rPr>
                <w:rFonts w:cs="Arial"/>
              </w:rPr>
              <w:t>2.2 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fte, deren Eingangsamt der Besoldungsgruppe A 12 zugeordnet ist,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2CA4BB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26,32 </w:t>
            </w:r>
            <w:r>
              <w:t>€</w:t>
            </w:r>
          </w:p>
        </w:tc>
      </w:tr>
      <w:tr w:rsidR="00000000" w14:paraId="215D64CB" w14:textId="77777777">
        <w:trPr>
          <w:trHeight w:val="3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44DDE4" w14:textId="77777777" w:rsidR="00530537" w:rsidRDefault="00530537">
            <w:pPr>
              <w:pStyle w:val="RVtabelle75nl"/>
            </w:pPr>
            <w:r>
              <w:rPr>
                <w:rFonts w:cs="Arial"/>
              </w:rPr>
              <w:t>2.3 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fte, deren Eingangsamt nicht mindestens der Besoldungsgruppe A 12 zugeordnet ist,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0163C6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21,24 </w:t>
            </w:r>
            <w:r>
              <w:t>€</w:t>
            </w:r>
          </w:p>
        </w:tc>
      </w:tr>
      <w:tr w:rsidR="00000000" w14:paraId="254F978A" w14:textId="77777777">
        <w:trPr>
          <w:trHeight w:val="210"/>
        </w:trPr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F08CA0" w14:textId="77777777" w:rsidR="00530537" w:rsidRDefault="00530537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Tarifbesch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ftigte</w:t>
            </w:r>
          </w:p>
        </w:tc>
      </w:tr>
      <w:tr w:rsidR="00000000" w14:paraId="3B9B8166" w14:textId="77777777">
        <w:trPr>
          <w:trHeight w:val="3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75528F" w14:textId="77777777" w:rsidR="00530537" w:rsidRDefault="00530537">
            <w:pPr>
              <w:pStyle w:val="RVtabelle75nl"/>
            </w:pPr>
            <w:r>
              <w:rPr>
                <w:rFonts w:cs="Arial"/>
              </w:rPr>
              <w:t>2.4 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 mit Lehrbef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higung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ein Lehramt,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das die Besoldungsgruppe A 13 Eingangsamt ist,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ED3874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31,25 </w:t>
            </w:r>
            <w:r>
              <w:t>€</w:t>
            </w:r>
          </w:p>
        </w:tc>
      </w:tr>
      <w:tr w:rsidR="00000000" w14:paraId="15C68538" w14:textId="77777777">
        <w:trPr>
          <w:trHeight w:val="51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BFF5ED" w14:textId="77777777" w:rsidR="00530537" w:rsidRDefault="00530537">
            <w:pPr>
              <w:pStyle w:val="RVtabelle75nl"/>
              <w:rPr>
                <w:rFonts w:cs="Arial"/>
              </w:rPr>
            </w:pPr>
            <w:r>
              <w:rPr>
                <w:rFonts w:cs="Arial"/>
              </w:rPr>
              <w:t>2.5 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 mit Lehrbef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higung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ein Lehramt,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das die Besoldungsgruppe A 12 Eingangsamt ist, oder mit der Bef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higung zum Sportlehrer (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93 a </w:t>
            </w:r>
            <w:hyperlink r:id="rId10" w:history="1">
              <w:r>
                <w:rPr>
                  <w:rFonts w:cs="Arial"/>
                </w:rPr>
                <w:t>LVO</w:t>
              </w:r>
            </w:hyperlink>
            <w:r>
              <w:t>)</w:t>
            </w:r>
            <w:hyperlink w:anchor="FN2" w:history="1">
              <w:r>
                <w:rPr>
                  <w:rStyle w:val="FNhochgestelltblau"/>
                  <w:rFonts w:cs="Calibri"/>
                </w:rPr>
                <w:t>2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4A770F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 xml:space="preserve">26,32 </w:t>
            </w:r>
            <w:r>
              <w:rPr>
                <w:rFonts w:cs="Calibri"/>
              </w:rPr>
              <w:t>€</w:t>
            </w:r>
          </w:p>
        </w:tc>
      </w:tr>
      <w:tr w:rsidR="00000000" w14:paraId="0F8D459B" w14:textId="77777777">
        <w:trPr>
          <w:trHeight w:val="3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F1781A" w14:textId="77777777" w:rsidR="00530537" w:rsidRDefault="00530537">
            <w:pPr>
              <w:pStyle w:val="RVtabelle75nl"/>
              <w:rPr>
                <w:rFonts w:cs="Arial"/>
              </w:rPr>
            </w:pPr>
            <w:r>
              <w:t>2.6 Religionslehrkr</w:t>
            </w:r>
            <w:r>
              <w:t>ä</w:t>
            </w:r>
            <w:r>
              <w:t>fte mit abgeschlossener theologischer Ausbildung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997793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 xml:space="preserve">31,25 </w:t>
            </w:r>
            <w:r>
              <w:rPr>
                <w:rFonts w:cs="Calibri"/>
              </w:rPr>
              <w:t>€</w:t>
            </w:r>
          </w:p>
        </w:tc>
      </w:tr>
      <w:tr w:rsidR="00000000" w14:paraId="1BEC92A2" w14:textId="77777777">
        <w:trPr>
          <w:trHeight w:val="9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B400E2" w14:textId="77777777" w:rsidR="00530537" w:rsidRDefault="00530537">
            <w:pPr>
              <w:pStyle w:val="RVtabelle75nl"/>
              <w:rPr>
                <w:rFonts w:cs="Arial"/>
              </w:rPr>
            </w:pPr>
            <w:r>
              <w:t>2.7 Lehrkr</w:t>
            </w:r>
            <w:r>
              <w:t>ä</w:t>
            </w:r>
            <w:r>
              <w:t>fte mit abgeschlossenem Studium an einer wissenschaftlichen Hochschule (Staatspr</w:t>
            </w:r>
            <w:r>
              <w:t>ü</w:t>
            </w:r>
            <w:r>
              <w:t>fung f</w:t>
            </w:r>
            <w:r>
              <w:t>ü</w:t>
            </w:r>
            <w:r>
              <w:t>r ein Lehramt), die damit aufgrund ihres Studiums die F</w:t>
            </w:r>
            <w:r>
              <w:t>ä</w:t>
            </w:r>
            <w:r>
              <w:t>higkeit zum Unterrichten in mindestens zwei F</w:t>
            </w:r>
            <w:r>
              <w:t>ä</w:t>
            </w:r>
            <w:r>
              <w:t xml:space="preserve">chern haben und die </w:t>
            </w:r>
            <w:r>
              <w:t>ü</w:t>
            </w:r>
            <w:r>
              <w:t>berwiegend Unterricht in mindestens einem ihrem Studium entsprechen den wissenschaftlichen Fach erteilen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92B312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 xml:space="preserve">31,25 </w:t>
            </w:r>
            <w:r>
              <w:rPr>
                <w:rFonts w:cs="Calibri"/>
              </w:rPr>
              <w:t>€</w:t>
            </w:r>
          </w:p>
        </w:tc>
      </w:tr>
      <w:tr w:rsidR="00000000" w14:paraId="18E7C278" w14:textId="77777777">
        <w:trPr>
          <w:trHeight w:val="81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C20334" w14:textId="77777777" w:rsidR="00530537" w:rsidRDefault="00530537">
            <w:pPr>
              <w:pStyle w:val="RVtabelle75nl"/>
              <w:rPr>
                <w:rFonts w:cs="Arial"/>
              </w:rPr>
            </w:pPr>
            <w:r>
              <w:t>(Diese Fallgruppe gilt nicht f</w:t>
            </w:r>
            <w:r>
              <w:t>ü</w:t>
            </w:r>
            <w:r>
              <w:t>r Diplom-Dolmetscherinnen/Diplom-Dolmetscher und Diplom-</w:t>
            </w:r>
            <w:r>
              <w:t>Ü</w:t>
            </w:r>
            <w:r>
              <w:t>bersetzerinnen/Diplom-</w:t>
            </w:r>
            <w:r>
              <w:t>Ü</w:t>
            </w:r>
            <w:r>
              <w:t>bersetzer und nicht f</w:t>
            </w:r>
            <w:r>
              <w:t>ü</w:t>
            </w:r>
            <w:r>
              <w:t>r Lehrkr</w:t>
            </w:r>
            <w:r>
              <w:t>ä</w:t>
            </w:r>
            <w:r>
              <w:t>fte, die die Erste oder Zweite Staatspr</w:t>
            </w:r>
            <w:r>
              <w:t>ü</w:t>
            </w:r>
            <w:r>
              <w:t>fung f</w:t>
            </w:r>
            <w:r>
              <w:t>ü</w:t>
            </w:r>
            <w:r>
              <w:t>r ein Lehramt abgelegt haben, f</w:t>
            </w:r>
            <w:r>
              <w:t>ü</w:t>
            </w:r>
            <w:r>
              <w:t>r das die Besoldungsgruppe A 12 Eingangsamt ist.)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01BE20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08CE8EF5" w14:textId="77777777">
        <w:trPr>
          <w:trHeight w:val="9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1C3E5A" w14:textId="77777777" w:rsidR="00530537" w:rsidRDefault="00530537">
            <w:pPr>
              <w:pStyle w:val="RVtabelle75nl"/>
            </w:pPr>
            <w:r>
              <w:rPr>
                <w:rFonts w:cs="Arial"/>
              </w:rPr>
              <w:t>2.8 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 mit abgeschlossenem Studium an einer wissenschaftlichen Hochschule (Staatspr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ein Lehramt), die damit aufgrund ihres Studiums 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higkeit zum Unterrichten in mindestens zwei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chern haben und die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berwiegend Unterricht in mindestens einem ihrem Studium entsprechenden wissenschaftlichen Fach erteilen,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90C47B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26,32 </w:t>
            </w:r>
            <w:r>
              <w:t>€</w:t>
            </w:r>
          </w:p>
        </w:tc>
      </w:tr>
      <w:tr w:rsidR="00000000" w14:paraId="578BD5FD" w14:textId="77777777">
        <w:trPr>
          <w:trHeight w:val="51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4F129C" w14:textId="77777777" w:rsidR="00530537" w:rsidRDefault="00530537">
            <w:pPr>
              <w:pStyle w:val="RVtabelle75nl"/>
            </w:pPr>
            <w:r>
              <w:rPr>
                <w:rFonts w:cs="Arial"/>
              </w:rPr>
              <w:t>(Diese Fallgruppe gilt nicht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Diplom-Dolmetscherinnen/Diplom-Dolmetscher und Diplom-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bersetzerinnen/Diplom-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bersetzer.)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89E10F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</w:pPr>
          </w:p>
        </w:tc>
      </w:tr>
      <w:tr w:rsidR="00000000" w14:paraId="551EFA3C" w14:textId="77777777">
        <w:trPr>
          <w:trHeight w:val="3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9D2713" w14:textId="77777777" w:rsidR="00530537" w:rsidRDefault="00530537">
            <w:pPr>
              <w:pStyle w:val="RVtabelle75nl"/>
              <w:rPr>
                <w:rFonts w:cs="Arial"/>
              </w:rPr>
            </w:pPr>
            <w:r>
              <w:t>2.9 Lehrkr</w:t>
            </w:r>
            <w:r>
              <w:t>ä</w:t>
            </w:r>
            <w:r>
              <w:t>fte, die nicht von den Fallgruppen 2.4 bis 2.8 erfasst werden,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F0C769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36B614DB" w14:textId="77777777">
        <w:trPr>
          <w:trHeight w:val="3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72A9A3" w14:textId="77777777" w:rsidR="00530537" w:rsidRDefault="00530537">
            <w:pPr>
              <w:pStyle w:val="RVtabelle75nl"/>
            </w:pPr>
            <w:r>
              <w:rPr>
                <w:rFonts w:cs="Arial"/>
              </w:rPr>
              <w:t>2.9.1 bei einer Eingruppierung in die Entgeltgruppe 11, 10 oder 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E2A3E2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21,24 </w:t>
            </w:r>
            <w:r>
              <w:t>€</w:t>
            </w:r>
          </w:p>
        </w:tc>
      </w:tr>
      <w:tr w:rsidR="00000000" w14:paraId="4BE0B4E9" w14:textId="77777777">
        <w:trPr>
          <w:trHeight w:val="21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4AE3CA" w14:textId="77777777" w:rsidR="00530537" w:rsidRDefault="00530537">
            <w:pPr>
              <w:pStyle w:val="RVtabelle75nl"/>
            </w:pPr>
            <w:r>
              <w:rPr>
                <w:rFonts w:cs="Arial"/>
              </w:rPr>
              <w:t>2.9.2 bei einer Eingruppierung in die Entgeltgruppe 8 oder 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1161C7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16,64 </w:t>
            </w:r>
            <w:r>
              <w:t>€</w:t>
            </w:r>
          </w:p>
        </w:tc>
      </w:tr>
      <w:tr w:rsidR="00000000" w14:paraId="55A3DD13" w14:textId="77777777">
        <w:trPr>
          <w:trHeight w:val="210"/>
        </w:trPr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89202C" w14:textId="77777777" w:rsidR="00530537" w:rsidRDefault="00530537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3 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 an Gymnasien und Berufskolleg</w:t>
            </w:r>
            <w:r>
              <w:rPr>
                <w:rStyle w:val="hf"/>
                <w:rFonts w:cs="Calibri"/>
                <w:b/>
                <w:sz w:val="15"/>
              </w:rPr>
              <w:t>s</w:t>
            </w:r>
          </w:p>
        </w:tc>
      </w:tr>
      <w:tr w:rsidR="00000000" w14:paraId="5E991F83" w14:textId="77777777">
        <w:trPr>
          <w:trHeight w:val="210"/>
        </w:trPr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64F860" w14:textId="77777777" w:rsidR="00530537" w:rsidRDefault="00530537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Beamtinnen und Beamte</w:t>
            </w:r>
          </w:p>
        </w:tc>
      </w:tr>
      <w:tr w:rsidR="00000000" w14:paraId="3A896B36" w14:textId="77777777">
        <w:trPr>
          <w:trHeight w:val="3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5ADDFA" w14:textId="77777777" w:rsidR="00530537" w:rsidRDefault="00530537">
            <w:pPr>
              <w:pStyle w:val="RVtabelle75nl"/>
              <w:rPr>
                <w:rFonts w:cs="Arial"/>
              </w:rPr>
            </w:pPr>
            <w:r>
              <w:t>3.1 Lehrkr</w:t>
            </w:r>
            <w:r>
              <w:t>ä</w:t>
            </w:r>
            <w:r>
              <w:t>fte, deren Eingangsamt der Besoldungsgruppe A 13 h</w:t>
            </w:r>
            <w:r>
              <w:t>ö</w:t>
            </w:r>
            <w:r>
              <w:t>herer Dienst zugeordnet ist,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027D30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 xml:space="preserve">36,64 </w:t>
            </w:r>
            <w:r>
              <w:rPr>
                <w:rFonts w:cs="Calibri"/>
              </w:rPr>
              <w:t>€</w:t>
            </w:r>
          </w:p>
        </w:tc>
      </w:tr>
      <w:tr w:rsidR="00000000" w14:paraId="79271073" w14:textId="77777777">
        <w:trPr>
          <w:trHeight w:val="3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E2C91D" w14:textId="77777777" w:rsidR="00530537" w:rsidRDefault="00530537">
            <w:pPr>
              <w:pStyle w:val="RVtabelle75nl"/>
              <w:rPr>
                <w:rFonts w:cs="Arial"/>
              </w:rPr>
            </w:pPr>
            <w:r>
              <w:t>3.2 Lehrkr</w:t>
            </w:r>
            <w:r>
              <w:t>ä</w:t>
            </w:r>
            <w:r>
              <w:t>fte, deren Eingangsamt der Besoldungsgruppe A 13 gehobener Dienst zugeordnet ist,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4A36D9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 xml:space="preserve">31,25 </w:t>
            </w:r>
            <w:r>
              <w:rPr>
                <w:rFonts w:cs="Calibri"/>
              </w:rPr>
              <w:t>€</w:t>
            </w:r>
          </w:p>
        </w:tc>
      </w:tr>
      <w:tr w:rsidR="00000000" w14:paraId="61D3003B" w14:textId="77777777">
        <w:trPr>
          <w:trHeight w:val="3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AF0203" w14:textId="77777777" w:rsidR="00530537" w:rsidRDefault="00530537">
            <w:pPr>
              <w:pStyle w:val="RVtabelle75nl"/>
              <w:rPr>
                <w:rFonts w:cs="Arial"/>
              </w:rPr>
            </w:pPr>
            <w:r>
              <w:t>3.3 Lehrkr</w:t>
            </w:r>
            <w:r>
              <w:t>ä</w:t>
            </w:r>
            <w:r>
              <w:t>fte, deren Eingangsamt der Besoldungsgruppe A 12 zugeordnet ist,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ED1F34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 xml:space="preserve">26,32 </w:t>
            </w:r>
            <w:r>
              <w:rPr>
                <w:rFonts w:cs="Calibri"/>
              </w:rPr>
              <w:t>€</w:t>
            </w:r>
          </w:p>
        </w:tc>
      </w:tr>
      <w:tr w:rsidR="00000000" w14:paraId="7DF14C8E" w14:textId="77777777">
        <w:trPr>
          <w:trHeight w:val="3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BCB850" w14:textId="77777777" w:rsidR="00530537" w:rsidRDefault="00530537">
            <w:pPr>
              <w:pStyle w:val="RVtabelle75nl"/>
              <w:rPr>
                <w:rFonts w:cs="Arial"/>
              </w:rPr>
            </w:pPr>
            <w:r>
              <w:t>3.4 Oberschullehrerinnen und -lehrer und Fachoberschullehrerinnen und -lehrer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F7CFF2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 xml:space="preserve">31,25 </w:t>
            </w:r>
            <w:r>
              <w:rPr>
                <w:rFonts w:cs="Calibri"/>
              </w:rPr>
              <w:t>€</w:t>
            </w:r>
          </w:p>
        </w:tc>
      </w:tr>
      <w:tr w:rsidR="00000000" w14:paraId="3561CBC2" w14:textId="77777777">
        <w:trPr>
          <w:trHeight w:val="3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12D507" w14:textId="77777777" w:rsidR="00530537" w:rsidRDefault="00530537">
            <w:pPr>
              <w:pStyle w:val="RVtabelle75nl"/>
              <w:rPr>
                <w:rFonts w:cs="Arial"/>
              </w:rPr>
            </w:pPr>
            <w:r>
              <w:t>3.5 Lehrkr</w:t>
            </w:r>
            <w:r>
              <w:t>ä</w:t>
            </w:r>
            <w:r>
              <w:t>fte, deren Eingangsamt nicht mindestens der Besoldungsgruppe A 12 zugeordnet ist,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8347AE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 xml:space="preserve">21,24 </w:t>
            </w:r>
            <w:r>
              <w:rPr>
                <w:rFonts w:cs="Calibri"/>
              </w:rPr>
              <w:t>€</w:t>
            </w:r>
          </w:p>
        </w:tc>
      </w:tr>
      <w:tr w:rsidR="00000000" w14:paraId="41797153" w14:textId="77777777">
        <w:trPr>
          <w:trHeight w:val="210"/>
        </w:trPr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D29A63" w14:textId="77777777" w:rsidR="00530537" w:rsidRDefault="00530537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Tarifbesch</w:t>
            </w:r>
            <w:r>
              <w:t>ä</w:t>
            </w:r>
            <w:r>
              <w:t>ftigte</w:t>
            </w:r>
          </w:p>
        </w:tc>
      </w:tr>
      <w:tr w:rsidR="00000000" w14:paraId="52E1A195" w14:textId="77777777">
        <w:trPr>
          <w:trHeight w:val="3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FD612E" w14:textId="77777777" w:rsidR="00530537" w:rsidRDefault="00530537">
            <w:pPr>
              <w:pStyle w:val="RVtabelle75nl"/>
              <w:rPr>
                <w:rFonts w:cs="Arial"/>
              </w:rPr>
            </w:pPr>
            <w:r>
              <w:t>3.6 Lehrkr</w:t>
            </w:r>
            <w:r>
              <w:t>ä</w:t>
            </w:r>
            <w:r>
              <w:t>fte mit Lehrbef</w:t>
            </w:r>
            <w:r>
              <w:t>ä</w:t>
            </w:r>
            <w:r>
              <w:t>higung f</w:t>
            </w:r>
            <w:r>
              <w:t>ü</w:t>
            </w:r>
            <w:r>
              <w:t>r ein Lehramt, f</w:t>
            </w:r>
            <w:r>
              <w:t>ü</w:t>
            </w:r>
            <w:r>
              <w:t>r das die Besoldungsgruppe A 13 h</w:t>
            </w:r>
            <w:r>
              <w:t>ö</w:t>
            </w:r>
            <w:r>
              <w:t>herer Dienst Eingangsamt ist,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860E5C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 xml:space="preserve">36,54 </w:t>
            </w:r>
            <w:r>
              <w:rPr>
                <w:rFonts w:cs="Calibri"/>
              </w:rPr>
              <w:t>€</w:t>
            </w:r>
          </w:p>
        </w:tc>
      </w:tr>
      <w:tr w:rsidR="00000000" w14:paraId="115831D6" w14:textId="77777777">
        <w:trPr>
          <w:trHeight w:val="3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00B9E1" w14:textId="77777777" w:rsidR="00530537" w:rsidRDefault="00530537">
            <w:pPr>
              <w:pStyle w:val="RVtabelle75nl"/>
              <w:rPr>
                <w:rFonts w:cs="Arial"/>
              </w:rPr>
            </w:pPr>
            <w:r>
              <w:t>3.7 Lehrkr</w:t>
            </w:r>
            <w:r>
              <w:t>ä</w:t>
            </w:r>
            <w:r>
              <w:t>fte mit Lehrbef</w:t>
            </w:r>
            <w:r>
              <w:t>ä</w:t>
            </w:r>
            <w:r>
              <w:t>higung f</w:t>
            </w:r>
            <w:r>
              <w:t>ü</w:t>
            </w:r>
            <w:r>
              <w:t>r ein Lehramt, f</w:t>
            </w:r>
            <w:r>
              <w:t>ü</w:t>
            </w:r>
            <w:r>
              <w:t>r das die Besoldungsgruppe A 13 gehobener Dienst Eingangsamt ist,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E7C407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 xml:space="preserve">31,25 </w:t>
            </w:r>
            <w:r>
              <w:rPr>
                <w:rFonts w:cs="Calibri"/>
              </w:rPr>
              <w:t>€</w:t>
            </w:r>
          </w:p>
        </w:tc>
      </w:tr>
      <w:tr w:rsidR="00000000" w14:paraId="60965F21" w14:textId="77777777">
        <w:trPr>
          <w:trHeight w:val="3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7CAACA" w14:textId="77777777" w:rsidR="00530537" w:rsidRDefault="00530537">
            <w:pPr>
              <w:pStyle w:val="RVtabelle75nl"/>
              <w:rPr>
                <w:rFonts w:cs="Arial"/>
              </w:rPr>
            </w:pPr>
            <w:r>
              <w:t>3.8 Lehrkr</w:t>
            </w:r>
            <w:r>
              <w:t>ä</w:t>
            </w:r>
            <w:r>
              <w:t>fte mit Lehrbef</w:t>
            </w:r>
            <w:r>
              <w:t>ä</w:t>
            </w:r>
            <w:r>
              <w:t>higung f</w:t>
            </w:r>
            <w:r>
              <w:t>ü</w:t>
            </w:r>
            <w:r>
              <w:t>r ein Lehramt, f</w:t>
            </w:r>
            <w:r>
              <w:t>ü</w:t>
            </w:r>
            <w:r>
              <w:t>r das die Besoldungsgruppe A 12 Eingangsamt ist,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B11598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 xml:space="preserve">26,32 </w:t>
            </w:r>
            <w:r>
              <w:rPr>
                <w:rFonts w:cs="Calibri"/>
              </w:rPr>
              <w:t>€</w:t>
            </w:r>
          </w:p>
        </w:tc>
      </w:tr>
      <w:tr w:rsidR="00000000" w14:paraId="31053675" w14:textId="77777777">
        <w:trPr>
          <w:trHeight w:val="3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CC5906" w14:textId="77777777" w:rsidR="00530537" w:rsidRDefault="00530537">
            <w:pPr>
              <w:pStyle w:val="RVtabelle75nl"/>
              <w:rPr>
                <w:rFonts w:cs="Arial"/>
              </w:rPr>
            </w:pPr>
            <w:r>
              <w:t>(Diese Fallgruppe gilt nicht f</w:t>
            </w:r>
            <w:r>
              <w:t>ü</w:t>
            </w:r>
            <w:r>
              <w:t>r Diplom-Sportlehrerinnen/Diplom-Sportlehrer.)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7FDB19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49D02A8C" w14:textId="77777777">
        <w:trPr>
          <w:trHeight w:val="3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070151" w14:textId="77777777" w:rsidR="00530537" w:rsidRDefault="00530537">
            <w:pPr>
              <w:pStyle w:val="RVtabelle75nl"/>
            </w:pPr>
            <w:r>
              <w:rPr>
                <w:rFonts w:cs="Arial"/>
              </w:rPr>
              <w:t>3.9 Religionslehrkr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 mit abgeschlossener theologischer Ausbildung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CA5FF6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36,54 </w:t>
            </w:r>
            <w:r>
              <w:t>€</w:t>
            </w:r>
          </w:p>
        </w:tc>
      </w:tr>
      <w:tr w:rsidR="00000000" w14:paraId="39194C42" w14:textId="77777777">
        <w:trPr>
          <w:trHeight w:val="9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FD0FF4" w14:textId="77777777" w:rsidR="00530537" w:rsidRDefault="00530537">
            <w:pPr>
              <w:pStyle w:val="RVtabelle75nl"/>
            </w:pPr>
            <w:r>
              <w:rPr>
                <w:rFonts w:cs="Arial"/>
              </w:rPr>
              <w:t>3.10 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 mit abges</w:t>
            </w:r>
            <w:r>
              <w:rPr>
                <w:rFonts w:cs="Arial"/>
              </w:rPr>
              <w:t>chlossenem Studium an einer wissenschaftlichen Hochschule (Staatspr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ein Lehramt), die damit aufgrund ihres Studiums 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higkeit zum Unterrichten in mindestens zwei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chern haben und die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berwiegend Unterricht in mindestens einem ihrem Studium entsprechenden wissenschaftlichen Fach erteilen,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59EE56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36,54 </w:t>
            </w:r>
            <w:r>
              <w:t>€</w:t>
            </w:r>
          </w:p>
        </w:tc>
      </w:tr>
      <w:tr w:rsidR="00000000" w14:paraId="7C525107" w14:textId="77777777">
        <w:trPr>
          <w:trHeight w:val="9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8F52ED" w14:textId="77777777" w:rsidR="00530537" w:rsidRDefault="00530537">
            <w:pPr>
              <w:pStyle w:val="RVtabelle75nl"/>
            </w:pPr>
            <w:r>
              <w:rPr>
                <w:rFonts w:cs="Arial"/>
              </w:rPr>
              <w:t>(Diese Fallgruppe gilt nicht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Diplom-Dolmetscherinnen/Diplom-Dolmetscher und Diplom-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bersetzerinnen/Diplom-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bersetzer und nicht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fte, die die Erste oder Zweite Staatspr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ein Lehramt abgelegt haben,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das die Besoldungsgruppe A 13 gehobener Dienst oder Besoldungsgruppe A 12 Eingangsamt ist.)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6D0480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</w:pPr>
          </w:p>
        </w:tc>
      </w:tr>
      <w:tr w:rsidR="00000000" w14:paraId="52558C2D" w14:textId="77777777">
        <w:trPr>
          <w:trHeight w:val="9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FB7206" w14:textId="77777777" w:rsidR="00530537" w:rsidRDefault="00530537">
            <w:pPr>
              <w:pStyle w:val="RVtabelle75nl"/>
              <w:rPr>
                <w:rFonts w:cs="Arial"/>
              </w:rPr>
            </w:pPr>
            <w:r>
              <w:t>3.11 Lehrkr</w:t>
            </w:r>
            <w:r>
              <w:t>ä</w:t>
            </w:r>
            <w:r>
              <w:t>fte mit abgeschlossenem Studium an einer wissenschaftlichen Hochschule (Staatspr</w:t>
            </w:r>
            <w:r>
              <w:t>ü</w:t>
            </w:r>
            <w:r>
              <w:t>fung f</w:t>
            </w:r>
            <w:r>
              <w:t>ü</w:t>
            </w:r>
            <w:r>
              <w:t>r ein Lehramt), die damit aufgrund ihres Studiums die F</w:t>
            </w:r>
            <w:r>
              <w:t>ä</w:t>
            </w:r>
            <w:r>
              <w:t>higkeit zum Unterrichten in mindestens zwei F</w:t>
            </w:r>
            <w:r>
              <w:t>ä</w:t>
            </w:r>
            <w:r>
              <w:t xml:space="preserve">chern haben und die </w:t>
            </w:r>
            <w:r>
              <w:t>ü</w:t>
            </w:r>
            <w:r>
              <w:t>berwiegend Unterricht in mindestens einem ihrem Studium entsprechenden wissenschaftlichen Fach erteilen,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525361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 xml:space="preserve">31,25 </w:t>
            </w:r>
            <w:r>
              <w:rPr>
                <w:rFonts w:cs="Calibri"/>
              </w:rPr>
              <w:t>€</w:t>
            </w:r>
          </w:p>
        </w:tc>
      </w:tr>
      <w:tr w:rsidR="00000000" w14:paraId="608D53AB" w14:textId="77777777">
        <w:trPr>
          <w:trHeight w:val="81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EF6F51" w14:textId="77777777" w:rsidR="00530537" w:rsidRDefault="00530537">
            <w:pPr>
              <w:pStyle w:val="RVtabelle75nl"/>
              <w:rPr>
                <w:rFonts w:cs="Arial"/>
              </w:rPr>
            </w:pPr>
            <w:r>
              <w:t>(Diese Fallgruppe gilt nicht f</w:t>
            </w:r>
            <w:r>
              <w:t>ü</w:t>
            </w:r>
            <w:r>
              <w:t>r Diplom-Dolmetscherinnen/Diplom-Dolmetscher und Diplom-</w:t>
            </w:r>
            <w:r>
              <w:t>Ü</w:t>
            </w:r>
            <w:r>
              <w:t>bersetzerinnen/Diplom-</w:t>
            </w:r>
            <w:r>
              <w:t>Ü</w:t>
            </w:r>
            <w:r>
              <w:t>bersetzer und nicht f</w:t>
            </w:r>
            <w:r>
              <w:t>ü</w:t>
            </w:r>
            <w:r>
              <w:t>r Lehrkr</w:t>
            </w:r>
            <w:r>
              <w:t>ä</w:t>
            </w:r>
            <w:r>
              <w:t>fte, die die Erste oder Zweite Staatspr</w:t>
            </w:r>
            <w:r>
              <w:t>ü</w:t>
            </w:r>
            <w:r>
              <w:t>fung f</w:t>
            </w:r>
            <w:r>
              <w:t>ü</w:t>
            </w:r>
            <w:r>
              <w:t>r ein Lehramt abgelegt haben, f</w:t>
            </w:r>
            <w:r>
              <w:t>ü</w:t>
            </w:r>
            <w:r>
              <w:t>r das die Besoldungsgruppe A 12 Eingangsamt ist.)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8E4F85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5906C886" w14:textId="77777777">
        <w:trPr>
          <w:trHeight w:val="9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CFA35C" w14:textId="77777777" w:rsidR="00530537" w:rsidRDefault="00530537">
            <w:pPr>
              <w:pStyle w:val="RVtabelle75nl"/>
            </w:pPr>
            <w:r>
              <w:rPr>
                <w:rFonts w:cs="Arial"/>
              </w:rPr>
              <w:lastRenderedPageBreak/>
              <w:t>3.12 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 mit abgeschlossenem Studium an einer wissenschaftlichen Hochschule (Staatspr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ein Lehramt), die damit aufgrund ihres Studiums die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higkeit zum Unterrichten in mindestens zwei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chern haben und die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berwiegend Unterricht in mindestens einem ihrem Studium entsprechenden wissenschaftlichen Fach erteilen,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BACAE7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26,32 </w:t>
            </w:r>
            <w:r>
              <w:t>€</w:t>
            </w:r>
          </w:p>
        </w:tc>
      </w:tr>
      <w:tr w:rsidR="00000000" w14:paraId="09C4FDD5" w14:textId="77777777">
        <w:trPr>
          <w:trHeight w:val="51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4796E4" w14:textId="77777777" w:rsidR="00530537" w:rsidRDefault="00530537">
            <w:pPr>
              <w:pStyle w:val="RVtabelle75nl"/>
            </w:pPr>
            <w:r>
              <w:rPr>
                <w:rFonts w:cs="Arial"/>
              </w:rPr>
              <w:t>(Diese Fallgruppe gilt nicht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Diplom-Dolmetscherinnen/Diplom-Dolmetscher und Diplom-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bersetzerinnen/Diplom-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bersetzer.)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749D57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</w:pPr>
          </w:p>
        </w:tc>
      </w:tr>
      <w:tr w:rsidR="00000000" w14:paraId="052402C3" w14:textId="77777777">
        <w:trPr>
          <w:trHeight w:val="3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4A8528" w14:textId="77777777" w:rsidR="00530537" w:rsidRDefault="00530537">
            <w:pPr>
              <w:pStyle w:val="RVtabelle75nl"/>
              <w:rPr>
                <w:rFonts w:cs="Arial"/>
              </w:rPr>
            </w:pPr>
            <w:r>
              <w:t>3.13 Lehrkr</w:t>
            </w:r>
            <w:r>
              <w:t>ä</w:t>
            </w:r>
            <w:r>
              <w:t>fte, die nicht von den Fallgruppen 3.6 bis 3.12 erfasst werden,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E332E2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10DF9003" w14:textId="77777777">
        <w:trPr>
          <w:trHeight w:val="36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8AB3A7" w14:textId="77777777" w:rsidR="00530537" w:rsidRDefault="00530537">
            <w:pPr>
              <w:pStyle w:val="RVtabelle75nl"/>
            </w:pPr>
            <w:r>
              <w:rPr>
                <w:rFonts w:cs="Arial"/>
              </w:rPr>
              <w:t>3.13.1 bei einer Eingruppierung in die Entgeltgruppe 11, 10 oder 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1AEC14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21,24 </w:t>
            </w:r>
            <w:r>
              <w:t>€</w:t>
            </w:r>
          </w:p>
        </w:tc>
      </w:tr>
      <w:tr w:rsidR="00000000" w14:paraId="2003EF6B" w14:textId="77777777">
        <w:trPr>
          <w:trHeight w:val="210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A48746" w14:textId="77777777" w:rsidR="00530537" w:rsidRDefault="00530537">
            <w:pPr>
              <w:pStyle w:val="RVtabelle75nl"/>
            </w:pPr>
            <w:r>
              <w:rPr>
                <w:rFonts w:cs="Arial"/>
              </w:rPr>
              <w:t>3.13.2 bei einer Eingruppierung in die Entgeltgruppe 8 oder 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E66D83" w14:textId="77777777" w:rsidR="00530537" w:rsidRDefault="00530537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16,64 </w:t>
            </w:r>
            <w:r>
              <w:t>€</w:t>
            </w:r>
          </w:p>
        </w:tc>
      </w:tr>
      <w:tr w:rsidR="00000000" w14:paraId="479ECD95" w14:textId="77777777">
        <w:trPr>
          <w:trHeight w:val="500"/>
        </w:trPr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049185" w14:textId="77777777" w:rsidR="00530537" w:rsidRDefault="00530537">
            <w:pPr>
              <w:pStyle w:val="RVfliesstext175nb"/>
              <w:widowControl/>
            </w:pPr>
            <w:r>
              <w:rPr>
                <w:rFonts w:cs="Arial"/>
              </w:rPr>
              <w:t>_________</w:t>
            </w:r>
          </w:p>
          <w:p w14:paraId="144F7742" w14:textId="77777777" w:rsidR="00530537" w:rsidRDefault="00530537">
            <w:pPr>
              <w:pStyle w:val="RVFunote160nb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2)</w:t>
            </w:r>
            <w:r>
              <w:tab/>
            </w:r>
            <w:bookmarkStart w:id="1" w:name="FN2"/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93 a LVO ist ab 16.04.1981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 xml:space="preserve">er Kraft getreten. Die </w:t>
            </w:r>
            <w:hyperlink r:id="rId11" w:history="1">
              <w:bookmarkEnd w:id="1"/>
              <w:r>
                <w:rPr>
                  <w:rFonts w:cs="Calibri"/>
                </w:rPr>
                <w:t>LVO</w:t>
              </w:r>
            </w:hyperlink>
            <w:r>
              <w:t xml:space="preserve"> ist g</w:t>
            </w:r>
            <w:r>
              <w:t>ü</w:t>
            </w:r>
            <w:r>
              <w:t>ltig in der Neufassung vom 21. Juni 2016 (SGV. NRW. 20301)</w:t>
            </w:r>
          </w:p>
        </w:tc>
      </w:tr>
      <w:tr w:rsidR="00000000" w14:paraId="1B928B10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3241A638" w14:textId="77777777" w:rsidR="00530537" w:rsidRDefault="00530537">
            <w:pPr>
              <w:pStyle w:val="RVtabellenunterschriftanfang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Verg</w:t>
            </w:r>
            <w:r>
              <w:t>ü</w:t>
            </w:r>
            <w:r>
              <w:t>tungss</w:t>
            </w:r>
            <w:r>
              <w:t>ä</w:t>
            </w:r>
            <w:r>
              <w:t>tze f</w:t>
            </w:r>
            <w:r>
              <w:t>ü</w:t>
            </w:r>
            <w:r>
              <w:t>r Mehrarbeit/nebenamtlichen Unterricht</w:t>
            </w:r>
          </w:p>
        </w:tc>
      </w:tr>
    </w:tbl>
    <w:p w14:paraId="5FED9AAF" w14:textId="77777777" w:rsidR="00530537" w:rsidRDefault="00530537">
      <w:pPr>
        <w:pStyle w:val="RVueberschrift285fz"/>
        <w:keepNext/>
        <w:keepLines/>
      </w:pPr>
      <w:r>
        <w:rPr>
          <w:rFonts w:cs="Arial"/>
        </w:rPr>
        <w:t>4 Lehrkr</w:t>
      </w:r>
      <w:r>
        <w:rPr>
          <w:rFonts w:cs="Arial"/>
        </w:rPr>
        <w:t>ä</w:t>
      </w:r>
      <w:r>
        <w:rPr>
          <w:rFonts w:cs="Arial"/>
        </w:rPr>
        <w:t xml:space="preserve">fte an Weiterbildungskollegs </w:t>
      </w:r>
      <w:r>
        <w:br/>
      </w:r>
      <w:r>
        <w:rPr>
          <w:rFonts w:cs="Arial"/>
        </w:rPr>
        <w:t>(Bildungsgang: Abendrealschulen)</w:t>
      </w:r>
    </w:p>
    <w:p w14:paraId="39541C6B" w14:textId="77777777" w:rsidR="00530537" w:rsidRDefault="00530537">
      <w:pPr>
        <w:pStyle w:val="RVfliesstext175nb"/>
        <w:widowControl/>
      </w:pPr>
      <w:r>
        <w:rPr>
          <w:rFonts w:cs="Arial"/>
        </w:rPr>
        <w:t>Es gelten die Verg</w:t>
      </w:r>
      <w:r>
        <w:rPr>
          <w:rFonts w:cs="Arial"/>
        </w:rPr>
        <w:t>ü</w:t>
      </w:r>
      <w:r>
        <w:rPr>
          <w:rFonts w:cs="Arial"/>
        </w:rPr>
        <w:t>tungss</w:t>
      </w:r>
      <w:r>
        <w:rPr>
          <w:rFonts w:cs="Arial"/>
        </w:rPr>
        <w:t>ä</w:t>
      </w:r>
      <w:r>
        <w:rPr>
          <w:rFonts w:cs="Arial"/>
        </w:rPr>
        <w:t>tze der Nrn. 2.1 bis 2.9.2.</w:t>
      </w:r>
    </w:p>
    <w:p w14:paraId="6AD2FD79" w14:textId="77777777" w:rsidR="00530537" w:rsidRDefault="00530537">
      <w:pPr>
        <w:pStyle w:val="RVueberschrift285fz"/>
        <w:keepNext/>
        <w:keepLines/>
      </w:pPr>
      <w:r>
        <w:rPr>
          <w:rFonts w:cs="Arial"/>
        </w:rPr>
        <w:t>5 Lehrkr</w:t>
      </w:r>
      <w:r>
        <w:rPr>
          <w:rFonts w:cs="Arial"/>
        </w:rPr>
        <w:t>ä</w:t>
      </w:r>
      <w:r>
        <w:rPr>
          <w:rFonts w:cs="Arial"/>
        </w:rPr>
        <w:t xml:space="preserve">fte an Weiterbildungskollegs </w:t>
      </w:r>
      <w:r>
        <w:br/>
      </w:r>
      <w:r>
        <w:rPr>
          <w:rFonts w:cs="Arial"/>
        </w:rPr>
        <w:t>(Bildungsg</w:t>
      </w:r>
      <w:r>
        <w:rPr>
          <w:rFonts w:cs="Arial"/>
        </w:rPr>
        <w:t>ä</w:t>
      </w:r>
      <w:r>
        <w:rPr>
          <w:rFonts w:cs="Arial"/>
        </w:rPr>
        <w:t xml:space="preserve">nge: Abendgymnasien und Kollegs - </w:t>
      </w:r>
      <w:r>
        <w:br/>
      </w:r>
      <w:r>
        <w:rPr>
          <w:rFonts w:cs="Arial"/>
        </w:rPr>
        <w:t>Institute zur Erlangung der Hochschulreife)</w:t>
      </w:r>
      <w:r>
        <w:br/>
      </w:r>
      <w:r>
        <w:rPr>
          <w:rFonts w:cs="Arial"/>
        </w:rPr>
        <w:t>Lehrkr</w:t>
      </w:r>
      <w:r>
        <w:rPr>
          <w:rFonts w:cs="Arial"/>
        </w:rPr>
        <w:t>ä</w:t>
      </w:r>
      <w:r>
        <w:rPr>
          <w:rFonts w:cs="Arial"/>
        </w:rPr>
        <w:t xml:space="preserve">fte an Studienkollegs bzw. </w:t>
      </w:r>
      <w:r>
        <w:br/>
      </w:r>
      <w:r>
        <w:rPr>
          <w:rFonts w:cs="Arial"/>
        </w:rPr>
        <w:t>Kollegs f</w:t>
      </w:r>
      <w:r>
        <w:rPr>
          <w:rFonts w:cs="Arial"/>
        </w:rPr>
        <w:t>ü</w:t>
      </w:r>
      <w:r>
        <w:rPr>
          <w:rFonts w:cs="Arial"/>
        </w:rPr>
        <w:t>r Aussiedlerinnen und Aussiedler</w:t>
      </w:r>
    </w:p>
    <w:p w14:paraId="3B530B89" w14:textId="77777777" w:rsidR="00530537" w:rsidRDefault="00530537">
      <w:pPr>
        <w:pStyle w:val="RVfliesstext175nb"/>
        <w:widowControl/>
      </w:pPr>
      <w:r>
        <w:rPr>
          <w:rFonts w:cs="Arial"/>
        </w:rPr>
        <w:t>Es gelten die Verg</w:t>
      </w:r>
      <w:r>
        <w:rPr>
          <w:rFonts w:cs="Arial"/>
        </w:rPr>
        <w:t>ü</w:t>
      </w:r>
      <w:r>
        <w:rPr>
          <w:rFonts w:cs="Arial"/>
        </w:rPr>
        <w:t>tungss</w:t>
      </w:r>
      <w:r>
        <w:rPr>
          <w:rFonts w:cs="Arial"/>
        </w:rPr>
        <w:t>ä</w:t>
      </w:r>
      <w:r>
        <w:rPr>
          <w:rFonts w:cs="Arial"/>
        </w:rPr>
        <w:t>tze der Nrn. 3.1 bis 3.13.2.</w:t>
      </w:r>
    </w:p>
    <w:p w14:paraId="7BEE54EB" w14:textId="77777777" w:rsidR="00530537" w:rsidRDefault="00530537">
      <w:pPr>
        <w:pStyle w:val="RVueberschrift285fz"/>
        <w:keepNext/>
        <w:keepLines/>
      </w:pPr>
      <w:r>
        <w:rPr>
          <w:rFonts w:cs="Arial"/>
        </w:rPr>
        <w:t>6 Lehrkr</w:t>
      </w:r>
      <w:r>
        <w:rPr>
          <w:rFonts w:cs="Arial"/>
        </w:rPr>
        <w:t>ä</w:t>
      </w:r>
      <w:r>
        <w:rPr>
          <w:rFonts w:cs="Arial"/>
        </w:rPr>
        <w:t>fte an Gesamtschulen und Sekundarschulen</w:t>
      </w:r>
    </w:p>
    <w:p w14:paraId="013CA686" w14:textId="77777777" w:rsidR="00530537" w:rsidRDefault="00530537">
      <w:pPr>
        <w:pStyle w:val="RVfliesstext175fl"/>
      </w:pPr>
      <w:r>
        <w:rPr>
          <w:rFonts w:cs="Arial"/>
        </w:rPr>
        <w:t>Beamtinnen und Beamte</w:t>
      </w:r>
    </w:p>
    <w:p w14:paraId="0ECD0C91" w14:textId="77777777" w:rsidR="00530537" w:rsidRDefault="00530537">
      <w:pPr>
        <w:pStyle w:val="RVfliesstext175nb"/>
        <w:widowControl/>
      </w:pPr>
      <w:r>
        <w:rPr>
          <w:rFonts w:cs="Arial"/>
        </w:rPr>
        <w:t>6.1 a Lehrkr</w:t>
      </w:r>
      <w:r>
        <w:rPr>
          <w:rFonts w:cs="Arial"/>
        </w:rPr>
        <w:t>ä</w:t>
      </w:r>
      <w:r>
        <w:rPr>
          <w:rFonts w:cs="Arial"/>
        </w:rPr>
        <w:t>fte, deren Eingangsamt mindestens der Besoldungsgruppe A 12 zugeordnet ist, erhalten den f</w:t>
      </w:r>
      <w:r>
        <w:rPr>
          <w:rFonts w:cs="Arial"/>
        </w:rPr>
        <w:t>ü</w:t>
      </w:r>
      <w:r>
        <w:rPr>
          <w:rFonts w:cs="Arial"/>
        </w:rPr>
        <w:t>r ihr Eingangsamt ma</w:t>
      </w:r>
      <w:r>
        <w:rPr>
          <w:rFonts w:cs="Arial"/>
        </w:rPr>
        <w:t>ß</w:t>
      </w:r>
      <w:r>
        <w:rPr>
          <w:rFonts w:cs="Arial"/>
        </w:rPr>
        <w:t>gebenden Verg</w:t>
      </w:r>
      <w:r>
        <w:rPr>
          <w:rFonts w:cs="Arial"/>
        </w:rPr>
        <w:t>ü</w:t>
      </w:r>
      <w:r>
        <w:rPr>
          <w:rFonts w:cs="Arial"/>
        </w:rPr>
        <w:t>tungssatz.</w:t>
      </w:r>
    </w:p>
    <w:p w14:paraId="6B67DEC1" w14:textId="77777777" w:rsidR="00530537" w:rsidRDefault="00530537">
      <w:pPr>
        <w:pStyle w:val="RVfliesstext175nb"/>
        <w:widowControl/>
      </w:pPr>
      <w:r>
        <w:rPr>
          <w:rFonts w:cs="Arial"/>
        </w:rPr>
        <w:t>6.1 b Lehrkr</w:t>
      </w:r>
      <w:r>
        <w:rPr>
          <w:rFonts w:cs="Arial"/>
        </w:rPr>
        <w:t>ä</w:t>
      </w:r>
      <w:r>
        <w:rPr>
          <w:rFonts w:cs="Arial"/>
        </w:rPr>
        <w:t>fte mit Lehrbef</w:t>
      </w:r>
      <w:r>
        <w:rPr>
          <w:rFonts w:cs="Arial"/>
        </w:rPr>
        <w:t>ä</w:t>
      </w:r>
      <w:r>
        <w:rPr>
          <w:rFonts w:cs="Arial"/>
        </w:rPr>
        <w:t>higung f</w:t>
      </w:r>
      <w:r>
        <w:rPr>
          <w:rFonts w:cs="Arial"/>
        </w:rPr>
        <w:t>ü</w:t>
      </w:r>
      <w:r>
        <w:rPr>
          <w:rFonts w:cs="Arial"/>
        </w:rPr>
        <w:t>r ein Lehramt, f</w:t>
      </w:r>
      <w:r>
        <w:rPr>
          <w:rFonts w:cs="Arial"/>
        </w:rPr>
        <w:t>ü</w:t>
      </w:r>
      <w:r>
        <w:rPr>
          <w:rFonts w:cs="Arial"/>
        </w:rPr>
        <w:t>r das die Besoldungsgruppe A 13 h</w:t>
      </w:r>
      <w:r>
        <w:rPr>
          <w:rFonts w:cs="Arial"/>
        </w:rPr>
        <w:t>ö</w:t>
      </w:r>
      <w:r>
        <w:rPr>
          <w:rFonts w:cs="Arial"/>
        </w:rPr>
        <w:t>herer Dienst Eingangsamt ist, erhalten den f</w:t>
      </w:r>
      <w:r>
        <w:rPr>
          <w:rFonts w:cs="Arial"/>
        </w:rPr>
        <w:t>ü</w:t>
      </w:r>
      <w:r>
        <w:rPr>
          <w:rFonts w:cs="Arial"/>
        </w:rPr>
        <w:t>r ihr Eingangsamt ma</w:t>
      </w:r>
      <w:r>
        <w:rPr>
          <w:rFonts w:cs="Arial"/>
        </w:rPr>
        <w:t>ß</w:t>
      </w:r>
      <w:r>
        <w:rPr>
          <w:rFonts w:cs="Arial"/>
        </w:rPr>
        <w:t>gebenden Verg</w:t>
      </w:r>
      <w:r>
        <w:rPr>
          <w:rFonts w:cs="Arial"/>
        </w:rPr>
        <w:t>ü</w:t>
      </w:r>
      <w:r>
        <w:rPr>
          <w:rFonts w:cs="Arial"/>
        </w:rPr>
        <w:t>tungssatz.</w:t>
      </w:r>
    </w:p>
    <w:p w14:paraId="0AD993C8" w14:textId="77777777" w:rsidR="00530537" w:rsidRDefault="00530537">
      <w:pPr>
        <w:pStyle w:val="RVfliesstext175nb"/>
        <w:widowControl/>
      </w:pPr>
      <w:r>
        <w:rPr>
          <w:rFonts w:cs="Arial"/>
        </w:rPr>
        <w:t>6.2 Lehrkr</w:t>
      </w:r>
      <w:r>
        <w:rPr>
          <w:rFonts w:cs="Arial"/>
        </w:rPr>
        <w:t>ä</w:t>
      </w:r>
      <w:r>
        <w:rPr>
          <w:rFonts w:cs="Arial"/>
        </w:rPr>
        <w:t>fte, deren Eingangsamt nicht mindestens der Besoldungsgruppe A 12 zugeordnet ist, erhalten den Verg</w:t>
      </w:r>
      <w:r>
        <w:rPr>
          <w:rFonts w:cs="Arial"/>
        </w:rPr>
        <w:t>ü</w:t>
      </w:r>
      <w:r>
        <w:rPr>
          <w:rFonts w:cs="Arial"/>
        </w:rPr>
        <w:t xml:space="preserve">tungssatz von 21,24 </w:t>
      </w:r>
      <w:r>
        <w:rPr>
          <w:rFonts w:cs="Arial"/>
        </w:rPr>
        <w:t>€</w:t>
      </w:r>
      <w:r>
        <w:rPr>
          <w:rFonts w:cs="Arial"/>
        </w:rPr>
        <w:t>.</w:t>
      </w:r>
    </w:p>
    <w:p w14:paraId="58070CB0" w14:textId="77777777" w:rsidR="00530537" w:rsidRDefault="00530537">
      <w:pPr>
        <w:pStyle w:val="RVfliesstext175fl"/>
      </w:pPr>
      <w:r>
        <w:rPr>
          <w:rFonts w:cs="Arial"/>
        </w:rPr>
        <w:t>Tarifbesch</w:t>
      </w:r>
      <w:r>
        <w:rPr>
          <w:rFonts w:cs="Arial"/>
        </w:rPr>
        <w:t>ä</w:t>
      </w:r>
      <w:r>
        <w:rPr>
          <w:rFonts w:cs="Arial"/>
        </w:rPr>
        <w:t>ftigte</w:t>
      </w:r>
    </w:p>
    <w:p w14:paraId="217E9C26" w14:textId="77777777" w:rsidR="00530537" w:rsidRDefault="00530537">
      <w:pPr>
        <w:pStyle w:val="RVfliesstext175nb"/>
        <w:widowControl/>
      </w:pPr>
      <w:r>
        <w:rPr>
          <w:rFonts w:cs="Arial"/>
        </w:rPr>
        <w:t>6.3 Lehrkr</w:t>
      </w:r>
      <w:r>
        <w:rPr>
          <w:rFonts w:cs="Arial"/>
        </w:rPr>
        <w:t>ä</w:t>
      </w:r>
      <w:r>
        <w:rPr>
          <w:rFonts w:cs="Arial"/>
        </w:rPr>
        <w:t>fte mit Lehrbef</w:t>
      </w:r>
      <w:r>
        <w:rPr>
          <w:rFonts w:cs="Arial"/>
        </w:rPr>
        <w:t>ä</w:t>
      </w:r>
      <w:r>
        <w:rPr>
          <w:rFonts w:cs="Arial"/>
        </w:rPr>
        <w:t>higung f</w:t>
      </w:r>
      <w:r>
        <w:rPr>
          <w:rFonts w:cs="Arial"/>
        </w:rPr>
        <w:t>ü</w:t>
      </w:r>
      <w:r>
        <w:rPr>
          <w:rFonts w:cs="Arial"/>
        </w:rPr>
        <w:t>r ein Lehramt, f</w:t>
      </w:r>
      <w:r>
        <w:rPr>
          <w:rFonts w:cs="Arial"/>
        </w:rPr>
        <w:t>ü</w:t>
      </w:r>
      <w:r>
        <w:rPr>
          <w:rFonts w:cs="Arial"/>
        </w:rPr>
        <w:t>r das mindestens die Besoldungsgruppe A 12 Eingangsamt ist, erhalten den f</w:t>
      </w:r>
      <w:r>
        <w:rPr>
          <w:rFonts w:cs="Arial"/>
        </w:rPr>
        <w:t>ü</w:t>
      </w:r>
      <w:r>
        <w:rPr>
          <w:rFonts w:cs="Arial"/>
        </w:rPr>
        <w:t>r das jeweilige Eingangsamt ma</w:t>
      </w:r>
      <w:r>
        <w:rPr>
          <w:rFonts w:cs="Arial"/>
        </w:rPr>
        <w:t>ß</w:t>
      </w:r>
      <w:r>
        <w:rPr>
          <w:rFonts w:cs="Arial"/>
        </w:rPr>
        <w:t>gebenden Verg</w:t>
      </w:r>
      <w:r>
        <w:rPr>
          <w:rFonts w:cs="Arial"/>
        </w:rPr>
        <w:t>ü</w:t>
      </w:r>
      <w:r>
        <w:rPr>
          <w:rFonts w:cs="Arial"/>
        </w:rPr>
        <w:t>tungssatz.</w:t>
      </w:r>
    </w:p>
    <w:p w14:paraId="113919FA" w14:textId="77777777" w:rsidR="00530537" w:rsidRDefault="00530537">
      <w:pPr>
        <w:pStyle w:val="RVfliesstext175nb"/>
        <w:widowControl/>
      </w:pPr>
      <w:r>
        <w:rPr>
          <w:rFonts w:cs="Arial"/>
        </w:rPr>
        <w:t>6.4 Lehrkr</w:t>
      </w:r>
      <w:r>
        <w:rPr>
          <w:rFonts w:cs="Arial"/>
        </w:rPr>
        <w:t>ä</w:t>
      </w:r>
      <w:r>
        <w:rPr>
          <w:rFonts w:cs="Arial"/>
        </w:rPr>
        <w:t>fte, die nicht von der Fallgruppe 6.3 erfasst werden, erhalten einen Verg</w:t>
      </w:r>
      <w:r>
        <w:rPr>
          <w:rFonts w:cs="Arial"/>
        </w:rPr>
        <w:t>ü</w:t>
      </w:r>
      <w:r>
        <w:rPr>
          <w:rFonts w:cs="Arial"/>
        </w:rPr>
        <w:t>tungssatz</w:t>
      </w:r>
    </w:p>
    <w:p w14:paraId="56A639D3" w14:textId="77777777" w:rsidR="00530537" w:rsidRDefault="00530537">
      <w:pPr>
        <w:pStyle w:val="RVfliesstext175nb"/>
        <w:widowControl/>
      </w:pPr>
      <w:r>
        <w:rPr>
          <w:rFonts w:cs="Arial"/>
        </w:rPr>
        <w:t xml:space="preserve">6.4.1 nach einer der Fallgruppen 1.4 bis 1.6, sofern sie im Rahmen ihrer Pflichtstunden </w:t>
      </w:r>
      <w:r>
        <w:rPr>
          <w:rFonts w:cs="Arial"/>
        </w:rPr>
        <w:t>ü</w:t>
      </w:r>
      <w:r>
        <w:rPr>
          <w:rFonts w:cs="Arial"/>
        </w:rPr>
        <w:t>berwiegend in den Klassen (Jahrgangsstufen) 5 und 6 unterrichten,</w:t>
      </w:r>
    </w:p>
    <w:p w14:paraId="420541B9" w14:textId="77777777" w:rsidR="00530537" w:rsidRDefault="00530537">
      <w:pPr>
        <w:pStyle w:val="RVfliesstext175nb"/>
        <w:widowControl/>
      </w:pPr>
      <w:r>
        <w:rPr>
          <w:rFonts w:cs="Arial"/>
        </w:rPr>
        <w:t xml:space="preserve">6.4.2 nach einer der Fallgruppen 2.6 bis 2.9, sofern sie im Rahmen ihrer Pflichtstunden </w:t>
      </w:r>
      <w:r>
        <w:rPr>
          <w:rFonts w:cs="Arial"/>
        </w:rPr>
        <w:t>ü</w:t>
      </w:r>
      <w:r>
        <w:rPr>
          <w:rFonts w:cs="Arial"/>
        </w:rPr>
        <w:t>berwiegend in den Klassen (Jahrgangsstufen) 7 bis 10 unterrichten,</w:t>
      </w:r>
    </w:p>
    <w:p w14:paraId="5EB72987" w14:textId="77777777" w:rsidR="00530537" w:rsidRDefault="00530537">
      <w:pPr>
        <w:pStyle w:val="RVfliesstext175nb"/>
        <w:widowControl/>
      </w:pPr>
      <w:r>
        <w:rPr>
          <w:rFonts w:cs="Arial"/>
        </w:rPr>
        <w:t xml:space="preserve">6.4.3 nach einer der Fallgruppen 3.9 bis 3.13, sofern sie im Rahmen ihrer Pflichtstunden </w:t>
      </w:r>
      <w:r>
        <w:rPr>
          <w:rFonts w:cs="Arial"/>
        </w:rPr>
        <w:t>ü</w:t>
      </w:r>
      <w:r>
        <w:rPr>
          <w:rFonts w:cs="Arial"/>
        </w:rPr>
        <w:t>berwiegend in den Klassen (Jahrgangsstufen) 11 bis 13 unterrichten.</w:t>
      </w:r>
    </w:p>
    <w:p w14:paraId="33C0F949" w14:textId="77777777" w:rsidR="00530537" w:rsidRDefault="00530537">
      <w:pPr>
        <w:pStyle w:val="RVueberschrift285fz"/>
        <w:keepNext/>
        <w:keepLines/>
      </w:pPr>
      <w:r>
        <w:rPr>
          <w:rFonts w:cs="Arial"/>
        </w:rPr>
        <w:t>7 Besonderer Verg</w:t>
      </w:r>
      <w:r>
        <w:rPr>
          <w:rFonts w:cs="Arial"/>
        </w:rPr>
        <w:t>ü</w:t>
      </w:r>
      <w:r>
        <w:rPr>
          <w:rFonts w:cs="Arial"/>
        </w:rPr>
        <w:t>tungssatz</w:t>
      </w:r>
    </w:p>
    <w:p w14:paraId="0D2825D0" w14:textId="77777777" w:rsidR="00530537" w:rsidRDefault="00530537">
      <w:pPr>
        <w:pStyle w:val="RVfliesstext175nb"/>
        <w:widowControl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eine Lehrkraft, die au</w:t>
      </w:r>
      <w:r>
        <w:rPr>
          <w:rFonts w:cs="Arial"/>
        </w:rPr>
        <w:t>ß</w:t>
      </w:r>
      <w:r>
        <w:rPr>
          <w:rFonts w:cs="Arial"/>
        </w:rPr>
        <w:t xml:space="preserve">erhalb des </w:t>
      </w:r>
      <w:r>
        <w:rPr>
          <w:rFonts w:cs="Arial"/>
        </w:rPr>
        <w:t>ö</w:t>
      </w:r>
      <w:r>
        <w:rPr>
          <w:rFonts w:cs="Arial"/>
        </w:rPr>
        <w:t>ffentlichen Dienstes eine hauptberufliche T</w:t>
      </w:r>
      <w:r>
        <w:rPr>
          <w:rFonts w:cs="Arial"/>
        </w:rPr>
        <w:t>ä</w:t>
      </w:r>
      <w:r>
        <w:rPr>
          <w:rFonts w:cs="Arial"/>
        </w:rPr>
        <w:t>tigkeit aus</w:t>
      </w:r>
      <w:r>
        <w:rPr>
          <w:rFonts w:cs="Arial"/>
        </w:rPr>
        <w:t>ü</w:t>
      </w:r>
      <w:r>
        <w:rPr>
          <w:rFonts w:cs="Arial"/>
        </w:rPr>
        <w:t>bt, die nach ihrer Art und Bedeutung und der Einkommensh</w:t>
      </w:r>
      <w:r>
        <w:rPr>
          <w:rFonts w:cs="Arial"/>
        </w:rPr>
        <w:t>ö</w:t>
      </w:r>
      <w:r>
        <w:rPr>
          <w:rFonts w:cs="Arial"/>
        </w:rPr>
        <w:t>he zweifelsfrei einer T</w:t>
      </w:r>
      <w:r>
        <w:rPr>
          <w:rFonts w:cs="Arial"/>
        </w:rPr>
        <w:t>ä</w:t>
      </w:r>
      <w:r>
        <w:rPr>
          <w:rFonts w:cs="Arial"/>
        </w:rPr>
        <w:t>tigkeit im h</w:t>
      </w:r>
      <w:r>
        <w:rPr>
          <w:rFonts w:cs="Arial"/>
        </w:rPr>
        <w:t>ö</w:t>
      </w:r>
      <w:r>
        <w:rPr>
          <w:rFonts w:cs="Arial"/>
        </w:rPr>
        <w:t>heren Dienst gleichsteht, kann im Einvernehmen mit dem Ministerium der Finanzen der entsprechende Verg</w:t>
      </w:r>
      <w:r>
        <w:rPr>
          <w:rFonts w:cs="Arial"/>
        </w:rPr>
        <w:t>ü</w:t>
      </w:r>
      <w:r>
        <w:rPr>
          <w:rFonts w:cs="Arial"/>
        </w:rPr>
        <w:t>tungssatz festgesetzt werden. Bei Vorliegen dieser Voraussetzungen ist dem Ministerium f</w:t>
      </w:r>
      <w:r>
        <w:rPr>
          <w:rFonts w:cs="Arial"/>
        </w:rPr>
        <w:t>ü</w:t>
      </w:r>
      <w:r>
        <w:rPr>
          <w:rFonts w:cs="Arial"/>
        </w:rPr>
        <w:t>r Schule und Bildung unter Beif</w:t>
      </w:r>
      <w:r>
        <w:rPr>
          <w:rFonts w:cs="Arial"/>
        </w:rPr>
        <w:t>ü</w:t>
      </w:r>
      <w:r>
        <w:rPr>
          <w:rFonts w:cs="Arial"/>
        </w:rPr>
        <w:t>gung entsprechender Nachweise in jedem Einzelfall ein begr</w:t>
      </w:r>
      <w:r>
        <w:rPr>
          <w:rFonts w:cs="Arial"/>
        </w:rPr>
        <w:t>ü</w:t>
      </w:r>
      <w:r>
        <w:rPr>
          <w:rFonts w:cs="Arial"/>
        </w:rPr>
        <w:t>ndeter Entscheidungsvorschlag vorzulegen. Es wird jedoch darauf hingewiesen, dass die H</w:t>
      </w:r>
      <w:r>
        <w:rPr>
          <w:rFonts w:cs="Arial"/>
        </w:rPr>
        <w:t>ö</w:t>
      </w:r>
      <w:r>
        <w:rPr>
          <w:rFonts w:cs="Arial"/>
        </w:rPr>
        <w:t>he des aus der hauptberuflichen T</w:t>
      </w:r>
      <w:r>
        <w:rPr>
          <w:rFonts w:cs="Arial"/>
        </w:rPr>
        <w:t>ä</w:t>
      </w:r>
      <w:r>
        <w:rPr>
          <w:rFonts w:cs="Arial"/>
        </w:rPr>
        <w:t>tigkeit zu erzielenden Einkommens f</w:t>
      </w:r>
      <w:r>
        <w:rPr>
          <w:rFonts w:cs="Arial"/>
        </w:rPr>
        <w:t>ü</w:t>
      </w:r>
      <w:r>
        <w:rPr>
          <w:rFonts w:cs="Arial"/>
        </w:rPr>
        <w:t>r sich allein kein ausreichender Grund f</w:t>
      </w:r>
      <w:r>
        <w:rPr>
          <w:rFonts w:cs="Arial"/>
        </w:rPr>
        <w:t>ü</w:t>
      </w:r>
      <w:r>
        <w:rPr>
          <w:rFonts w:cs="Arial"/>
        </w:rPr>
        <w:t>r eine Erh</w:t>
      </w:r>
      <w:r>
        <w:rPr>
          <w:rFonts w:cs="Arial"/>
        </w:rPr>
        <w:t>ö</w:t>
      </w:r>
      <w:r>
        <w:rPr>
          <w:rFonts w:cs="Arial"/>
        </w:rPr>
        <w:t>hung des Verg</w:t>
      </w:r>
      <w:r>
        <w:rPr>
          <w:rFonts w:cs="Arial"/>
        </w:rPr>
        <w:t>ü</w:t>
      </w:r>
      <w:r>
        <w:rPr>
          <w:rFonts w:cs="Arial"/>
        </w:rPr>
        <w:t>tungssatzes ist.</w:t>
      </w:r>
    </w:p>
    <w:p w14:paraId="583F4A31" w14:textId="77777777" w:rsidR="00530537" w:rsidRDefault="00530537">
      <w:pPr>
        <w:pStyle w:val="RVueberschrift285fz"/>
        <w:keepNext/>
        <w:keepLines/>
      </w:pPr>
      <w:r>
        <w:rPr>
          <w:rFonts w:cs="Arial"/>
        </w:rPr>
        <w:t xml:space="preserve">II. </w:t>
      </w:r>
      <w:r>
        <w:br/>
      </w:r>
      <w:r>
        <w:rPr>
          <w:rFonts w:cs="Arial"/>
        </w:rPr>
        <w:t xml:space="preserve">Nebenamtlicher Unterricht </w:t>
      </w:r>
      <w:r>
        <w:br/>
      </w:r>
      <w:r>
        <w:rPr>
          <w:rFonts w:cs="Arial"/>
        </w:rPr>
        <w:t>im Schuldienst</w:t>
      </w:r>
    </w:p>
    <w:p w14:paraId="0F0E2B65" w14:textId="77777777" w:rsidR="00530537" w:rsidRDefault="00530537">
      <w:pPr>
        <w:pStyle w:val="RVfliesstext175nb"/>
        <w:widowControl/>
      </w:pPr>
      <w:r>
        <w:rPr>
          <w:rFonts w:cs="Arial"/>
        </w:rPr>
        <w:t>Nach Beschluss der Landesregierung vom 25.09./11.12.1973 richtet sich die Einzelstundenverg</w:t>
      </w:r>
      <w:r>
        <w:rPr>
          <w:rFonts w:cs="Arial"/>
        </w:rPr>
        <w:t>ü</w:t>
      </w:r>
      <w:r>
        <w:rPr>
          <w:rFonts w:cs="Arial"/>
        </w:rPr>
        <w:t>tung f</w:t>
      </w:r>
      <w:r>
        <w:rPr>
          <w:rFonts w:cs="Arial"/>
        </w:rPr>
        <w:t>ü</w:t>
      </w:r>
      <w:r>
        <w:rPr>
          <w:rFonts w:cs="Arial"/>
        </w:rPr>
        <w:t>r die Erteilung nebenamtlichen Unterrichts nach den f</w:t>
      </w:r>
      <w:r>
        <w:rPr>
          <w:rFonts w:cs="Arial"/>
        </w:rPr>
        <w:t>ü</w:t>
      </w:r>
      <w:r>
        <w:rPr>
          <w:rFonts w:cs="Arial"/>
        </w:rPr>
        <w:t>r die Verg</w:t>
      </w:r>
      <w:r>
        <w:rPr>
          <w:rFonts w:cs="Arial"/>
        </w:rPr>
        <w:t>ü</w:t>
      </w:r>
      <w:r>
        <w:rPr>
          <w:rFonts w:cs="Arial"/>
        </w:rPr>
        <w:t>tung der Mehrarbeit im Schuldienst ma</w:t>
      </w:r>
      <w:r>
        <w:rPr>
          <w:rFonts w:cs="Arial"/>
        </w:rPr>
        <w:t>ß</w:t>
      </w:r>
      <w:r>
        <w:rPr>
          <w:rFonts w:cs="Arial"/>
        </w:rPr>
        <w:t>gebenden Verg</w:t>
      </w:r>
      <w:r>
        <w:rPr>
          <w:rFonts w:cs="Arial"/>
        </w:rPr>
        <w:t>ü</w:t>
      </w:r>
      <w:r>
        <w:rPr>
          <w:rFonts w:cs="Arial"/>
        </w:rPr>
        <w:t>tungss</w:t>
      </w:r>
      <w:r>
        <w:rPr>
          <w:rFonts w:cs="Arial"/>
        </w:rPr>
        <w:t>ä</w:t>
      </w:r>
      <w:r>
        <w:rPr>
          <w:rFonts w:cs="Arial"/>
        </w:rPr>
        <w:t>tzen. Dementsprechend gilt Folgendes:</w:t>
      </w:r>
    </w:p>
    <w:p w14:paraId="2DA38341" w14:textId="77777777" w:rsidR="00530537" w:rsidRDefault="00530537">
      <w:pPr>
        <w:pStyle w:val="RVueberschrift285fz"/>
        <w:keepNext/>
        <w:keepLines/>
      </w:pPr>
      <w:r>
        <w:rPr>
          <w:rFonts w:cs="Arial"/>
        </w:rPr>
        <w:t xml:space="preserve">1 Hauptamtliche oder hauptberufliche </w:t>
      </w:r>
      <w:r>
        <w:br/>
      </w:r>
      <w:r>
        <w:rPr>
          <w:rFonts w:cs="Arial"/>
        </w:rPr>
        <w:t>Lehrkr</w:t>
      </w:r>
      <w:r>
        <w:rPr>
          <w:rFonts w:cs="Arial"/>
        </w:rPr>
        <w:t>ä</w:t>
      </w:r>
      <w:r>
        <w:rPr>
          <w:rFonts w:cs="Arial"/>
        </w:rPr>
        <w:t xml:space="preserve">fte im </w:t>
      </w:r>
      <w:r>
        <w:rPr>
          <w:rFonts w:cs="Arial"/>
        </w:rPr>
        <w:t>ö</w:t>
      </w:r>
      <w:r>
        <w:rPr>
          <w:rFonts w:cs="Arial"/>
        </w:rPr>
        <w:t>ffentlichen Schuldienst</w:t>
      </w:r>
    </w:p>
    <w:p w14:paraId="74EF2BFA" w14:textId="77777777" w:rsidR="00530537" w:rsidRDefault="00530537">
      <w:pPr>
        <w:pStyle w:val="RVfliesstext175nb"/>
        <w:widowControl/>
      </w:pPr>
      <w:r>
        <w:rPr>
          <w:rFonts w:cs="Arial"/>
        </w:rPr>
        <w:t>Lehrkr</w:t>
      </w:r>
      <w:r>
        <w:rPr>
          <w:rFonts w:cs="Arial"/>
        </w:rPr>
        <w:t>ä</w:t>
      </w:r>
      <w:r>
        <w:rPr>
          <w:rFonts w:cs="Arial"/>
        </w:rPr>
        <w:t>fte, die eine hauptamtliche oder hauptberufliche Lehrt</w:t>
      </w:r>
      <w:r>
        <w:rPr>
          <w:rFonts w:cs="Arial"/>
        </w:rPr>
        <w:t>ä</w:t>
      </w:r>
      <w:r>
        <w:rPr>
          <w:rFonts w:cs="Arial"/>
        </w:rPr>
        <w:t xml:space="preserve">tigkeit im </w:t>
      </w:r>
      <w:r>
        <w:rPr>
          <w:rFonts w:cs="Arial"/>
        </w:rPr>
        <w:t>ö</w:t>
      </w:r>
      <w:r>
        <w:rPr>
          <w:rFonts w:cs="Arial"/>
        </w:rPr>
        <w:t>ffentlichen Schuldienst aus</w:t>
      </w:r>
      <w:r>
        <w:rPr>
          <w:rFonts w:cs="Arial"/>
        </w:rPr>
        <w:t>ü</w:t>
      </w:r>
      <w:r>
        <w:rPr>
          <w:rFonts w:cs="Arial"/>
        </w:rPr>
        <w:t>ben, erhalten f</w:t>
      </w:r>
      <w:r>
        <w:rPr>
          <w:rFonts w:cs="Arial"/>
        </w:rPr>
        <w:t>ü</w:t>
      </w:r>
      <w:r>
        <w:rPr>
          <w:rFonts w:cs="Arial"/>
        </w:rPr>
        <w:t>r die Erteilung nebenamtlichen Unterrichts grunds</w:t>
      </w:r>
      <w:r>
        <w:rPr>
          <w:rFonts w:cs="Arial"/>
        </w:rPr>
        <w:t>ä</w:t>
      </w:r>
      <w:r>
        <w:rPr>
          <w:rFonts w:cs="Arial"/>
        </w:rPr>
        <w:t>tzlich den Verg</w:t>
      </w:r>
      <w:r>
        <w:rPr>
          <w:rFonts w:cs="Arial"/>
        </w:rPr>
        <w:t>ü</w:t>
      </w:r>
      <w:r>
        <w:rPr>
          <w:rFonts w:cs="Arial"/>
        </w:rPr>
        <w:t>tungssatz, der bei Aus</w:t>
      </w:r>
      <w:r>
        <w:rPr>
          <w:rFonts w:cs="Arial"/>
        </w:rPr>
        <w:t>ü</w:t>
      </w:r>
      <w:r>
        <w:rPr>
          <w:rFonts w:cs="Arial"/>
        </w:rPr>
        <w:t>bung von Mehrarbeit an der eigenen Schule zu zahlen w</w:t>
      </w:r>
      <w:r>
        <w:rPr>
          <w:rFonts w:cs="Arial"/>
        </w:rPr>
        <w:t>ä</w:t>
      </w:r>
      <w:r>
        <w:rPr>
          <w:rFonts w:cs="Arial"/>
        </w:rPr>
        <w:t>re. Sofern jedoch bei einer hauptamtlichen oder hauptberuflichen Lehrt</w:t>
      </w:r>
      <w:r>
        <w:rPr>
          <w:rFonts w:cs="Arial"/>
        </w:rPr>
        <w:t>ä</w:t>
      </w:r>
      <w:r>
        <w:rPr>
          <w:rFonts w:cs="Arial"/>
        </w:rPr>
        <w:t>tigkeit an der Schule, an der der nebenamtliche Unterricht erteilt wird, f</w:t>
      </w:r>
      <w:r>
        <w:rPr>
          <w:rFonts w:cs="Arial"/>
        </w:rPr>
        <w:t>ü</w:t>
      </w:r>
      <w:r>
        <w:rPr>
          <w:rFonts w:cs="Arial"/>
        </w:rPr>
        <w:t>r zu leistende Mehrarbeit ein geringerer Verg</w:t>
      </w:r>
      <w:r>
        <w:rPr>
          <w:rFonts w:cs="Arial"/>
        </w:rPr>
        <w:t>ü</w:t>
      </w:r>
      <w:r>
        <w:rPr>
          <w:rFonts w:cs="Arial"/>
        </w:rPr>
        <w:t>tungssatz in Betracht k</w:t>
      </w:r>
      <w:r>
        <w:rPr>
          <w:rFonts w:cs="Arial"/>
        </w:rPr>
        <w:t>ä</w:t>
      </w:r>
      <w:r>
        <w:rPr>
          <w:rFonts w:cs="Arial"/>
        </w:rPr>
        <w:t>me, ist die geringere Verg</w:t>
      </w:r>
      <w:r>
        <w:rPr>
          <w:rFonts w:cs="Arial"/>
        </w:rPr>
        <w:t>ü</w:t>
      </w:r>
      <w:r>
        <w:rPr>
          <w:rFonts w:cs="Arial"/>
        </w:rPr>
        <w:t>tung zu zahlen.</w:t>
      </w:r>
    </w:p>
    <w:p w14:paraId="16770E15" w14:textId="77777777" w:rsidR="00530537" w:rsidRDefault="00530537">
      <w:pPr>
        <w:pStyle w:val="RVfliesstext175fl"/>
      </w:pPr>
      <w:r>
        <w:rPr>
          <w:rFonts w:cs="Arial"/>
        </w:rPr>
        <w:t>Beispiele:</w:t>
      </w:r>
    </w:p>
    <w:p w14:paraId="706403A2" w14:textId="77777777" w:rsidR="00530537" w:rsidRDefault="00530537">
      <w:pPr>
        <w:pStyle w:val="RVfliesstext175nb"/>
        <w:widowControl/>
      </w:pPr>
      <w:r>
        <w:rPr>
          <w:rFonts w:cs="Arial"/>
        </w:rPr>
        <w:t>1 Eine Lehrkraft - an einer allgemeinbildenden Schule - (Besoldungsgruppe A 12) erh</w:t>
      </w:r>
      <w:r>
        <w:rPr>
          <w:rFonts w:cs="Arial"/>
        </w:rPr>
        <w:t>ä</w:t>
      </w:r>
      <w:r>
        <w:rPr>
          <w:rFonts w:cs="Arial"/>
        </w:rPr>
        <w:t>lt f</w:t>
      </w:r>
      <w:r>
        <w:rPr>
          <w:rFonts w:cs="Arial"/>
        </w:rPr>
        <w:t>ü</w:t>
      </w:r>
      <w:r>
        <w:rPr>
          <w:rFonts w:cs="Arial"/>
        </w:rPr>
        <w:t>r die Erteilung nebenamtlichen Unterrichts an einer Realschule oder einem Gymnasium eine Einzelstundenverg</w:t>
      </w:r>
      <w:r>
        <w:rPr>
          <w:rFonts w:cs="Arial"/>
        </w:rPr>
        <w:t>ü</w:t>
      </w:r>
      <w:r>
        <w:rPr>
          <w:rFonts w:cs="Arial"/>
        </w:rPr>
        <w:t xml:space="preserve">tung von 25,60 </w:t>
      </w:r>
      <w:r>
        <w:rPr>
          <w:rFonts w:cs="Arial"/>
        </w:rPr>
        <w:t>€</w:t>
      </w:r>
      <w:r>
        <w:rPr>
          <w:rFonts w:cs="Arial"/>
        </w:rPr>
        <w:t>.</w:t>
      </w:r>
    </w:p>
    <w:p w14:paraId="47EC4D0C" w14:textId="77777777" w:rsidR="00530537" w:rsidRDefault="00530537">
      <w:pPr>
        <w:pStyle w:val="RVfliesstext175nb"/>
        <w:widowControl/>
      </w:pPr>
      <w:r>
        <w:rPr>
          <w:rFonts w:cs="Arial"/>
        </w:rPr>
        <w:t>2 Eine Studienr</w:t>
      </w:r>
      <w:r>
        <w:rPr>
          <w:rFonts w:cs="Arial"/>
        </w:rPr>
        <w:t>ä</w:t>
      </w:r>
      <w:r>
        <w:rPr>
          <w:rFonts w:cs="Arial"/>
        </w:rPr>
        <w:t>tin oder ein Studienrat erh</w:t>
      </w:r>
      <w:r>
        <w:rPr>
          <w:rFonts w:cs="Arial"/>
        </w:rPr>
        <w:t>ä</w:t>
      </w:r>
      <w:r>
        <w:rPr>
          <w:rFonts w:cs="Arial"/>
        </w:rPr>
        <w:t>lt f</w:t>
      </w:r>
      <w:r>
        <w:rPr>
          <w:rFonts w:cs="Arial"/>
        </w:rPr>
        <w:t>ü</w:t>
      </w:r>
      <w:r>
        <w:rPr>
          <w:rFonts w:cs="Arial"/>
        </w:rPr>
        <w:t>r die Erteilung nebenamtlichen Unterrichts an einer Realschule eine Einzelstundenverg</w:t>
      </w:r>
      <w:r>
        <w:rPr>
          <w:rFonts w:cs="Arial"/>
        </w:rPr>
        <w:t>ü</w:t>
      </w:r>
      <w:r>
        <w:rPr>
          <w:rFonts w:cs="Arial"/>
        </w:rPr>
        <w:t xml:space="preserve">tung von 30,40 </w:t>
      </w:r>
      <w:r>
        <w:rPr>
          <w:rFonts w:cs="Arial"/>
        </w:rPr>
        <w:t>€</w:t>
      </w:r>
      <w:r>
        <w:rPr>
          <w:rFonts w:cs="Arial"/>
        </w:rPr>
        <w:t>.</w:t>
      </w:r>
    </w:p>
    <w:p w14:paraId="4F548E1D" w14:textId="77777777" w:rsidR="00530537" w:rsidRDefault="00530537">
      <w:pPr>
        <w:pStyle w:val="RVfliesstext175nb"/>
        <w:widowControl/>
      </w:pPr>
      <w:r>
        <w:rPr>
          <w:rFonts w:cs="Arial"/>
        </w:rPr>
        <w:t>3 Eine hauptberuflich an einem Gymnasium t</w:t>
      </w:r>
      <w:r>
        <w:rPr>
          <w:rFonts w:cs="Arial"/>
        </w:rPr>
        <w:t>ä</w:t>
      </w:r>
      <w:r>
        <w:rPr>
          <w:rFonts w:cs="Arial"/>
        </w:rPr>
        <w:t>tige Diplom-Sportlehrerin oder ein entsprechender Diplom-Sportlehrer erh</w:t>
      </w:r>
      <w:r>
        <w:rPr>
          <w:rFonts w:cs="Arial"/>
        </w:rPr>
        <w:t>ä</w:t>
      </w:r>
      <w:r>
        <w:rPr>
          <w:rFonts w:cs="Arial"/>
        </w:rPr>
        <w:t>lt f</w:t>
      </w:r>
      <w:r>
        <w:rPr>
          <w:rFonts w:cs="Arial"/>
        </w:rPr>
        <w:t>ü</w:t>
      </w:r>
      <w:r>
        <w:rPr>
          <w:rFonts w:cs="Arial"/>
        </w:rPr>
        <w:t>r die Erteilung nebenamtlichen Sportunterrichts an einer Hauptschule oder einer Realschule eine Einzelstundenverg</w:t>
      </w:r>
      <w:r>
        <w:rPr>
          <w:rFonts w:cs="Arial"/>
        </w:rPr>
        <w:t>ü</w:t>
      </w:r>
      <w:r>
        <w:rPr>
          <w:rFonts w:cs="Arial"/>
        </w:rPr>
        <w:t>tung von</w:t>
      </w:r>
    </w:p>
    <w:p w14:paraId="79DCD6AF" w14:textId="77777777" w:rsidR="00530537" w:rsidRDefault="00530537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25,60 </w:t>
      </w:r>
      <w:r>
        <w:rPr>
          <w:rFonts w:cs="Arial"/>
        </w:rPr>
        <w:t>€</w:t>
      </w:r>
      <w:r>
        <w:rPr>
          <w:rFonts w:cs="Arial"/>
        </w:rPr>
        <w:t>, mit der Bef</w:t>
      </w:r>
      <w:r>
        <w:rPr>
          <w:rFonts w:cs="Arial"/>
        </w:rPr>
        <w:t>ä</w:t>
      </w:r>
      <w:r>
        <w:rPr>
          <w:rFonts w:cs="Arial"/>
        </w:rPr>
        <w:t>higung zum Sportlehrer (</w:t>
      </w:r>
      <w:r>
        <w:rPr>
          <w:rFonts w:cs="Arial"/>
        </w:rPr>
        <w:t>§</w:t>
      </w:r>
      <w:r>
        <w:rPr>
          <w:rFonts w:cs="Arial"/>
        </w:rPr>
        <w:t xml:space="preserve"> 93 a LVO)</w:t>
      </w:r>
      <w:hyperlink w:anchor="FN2" w:history="1">
        <w:r>
          <w:rPr>
            <w:rStyle w:val="FNhochgestelltblau"/>
          </w:rPr>
          <w:t>2</w:t>
        </w:r>
      </w:hyperlink>
      <w:r>
        <w:t>,</w:t>
      </w:r>
    </w:p>
    <w:p w14:paraId="2824E3D9" w14:textId="77777777" w:rsidR="00530537" w:rsidRDefault="00530537">
      <w:pPr>
        <w:pStyle w:val="RVfliesstext175nb"/>
        <w:widowControl/>
        <w:rPr>
          <w:rFonts w:cs="Arial"/>
        </w:rPr>
      </w:pPr>
      <w:r>
        <w:t xml:space="preserve">20,66 </w:t>
      </w:r>
      <w:r>
        <w:t>€</w:t>
      </w:r>
      <w:r>
        <w:t>, ohne die Bef</w:t>
      </w:r>
      <w:r>
        <w:t>ä</w:t>
      </w:r>
      <w:r>
        <w:t>higung zum Sportlehrer (</w:t>
      </w:r>
      <w:r>
        <w:t>§</w:t>
      </w:r>
      <w:r>
        <w:t xml:space="preserve"> 93 a LVO)</w:t>
      </w:r>
      <w:hyperlink w:anchor="FN2" w:history="1">
        <w:r>
          <w:rPr>
            <w:rStyle w:val="FNhochgestelltblau"/>
            <w:rFonts w:cs="Calibri"/>
          </w:rPr>
          <w:t>2</w:t>
        </w:r>
      </w:hyperlink>
    </w:p>
    <w:p w14:paraId="2A45C171" w14:textId="77777777" w:rsidR="00530537" w:rsidRDefault="00530537">
      <w:pPr>
        <w:pStyle w:val="RVueberschrift285fz"/>
        <w:keepNext/>
        <w:keepLines/>
        <w:rPr>
          <w:rFonts w:cs="Arial"/>
        </w:rPr>
      </w:pPr>
      <w:r>
        <w:t xml:space="preserve">2 Beamtinnen und Beamte </w:t>
      </w:r>
      <w:r>
        <w:rPr>
          <w:rFonts w:cs="Arial"/>
        </w:rPr>
        <w:br/>
      </w:r>
      <w:r>
        <w:t xml:space="preserve">im sonstigen </w:t>
      </w:r>
      <w:r>
        <w:t>ö</w:t>
      </w:r>
      <w:r>
        <w:t>ffentlichen Dienst</w:t>
      </w:r>
    </w:p>
    <w:p w14:paraId="511ADC13" w14:textId="77777777" w:rsidR="00530537" w:rsidRDefault="00530537">
      <w:pPr>
        <w:pStyle w:val="RVfliesstext175nb"/>
        <w:widowControl/>
        <w:rPr>
          <w:rFonts w:cs="Arial"/>
        </w:rPr>
      </w:pPr>
      <w:r>
        <w:t>Lehrkr</w:t>
      </w:r>
      <w:r>
        <w:t>ä</w:t>
      </w:r>
      <w:r>
        <w:t>fte, die als Beamtinnen, Beamte, Richterinnen oder Richter o.</w:t>
      </w:r>
      <w:r>
        <w:t>ä</w:t>
      </w:r>
      <w:r>
        <w:t>. eine hauptamtliche T</w:t>
      </w:r>
      <w:r>
        <w:t>ä</w:t>
      </w:r>
      <w:r>
        <w:t xml:space="preserve">tigkeit im sonstigen </w:t>
      </w:r>
      <w:r>
        <w:t>ö</w:t>
      </w:r>
      <w:r>
        <w:t>ffentlichen Dienst aus</w:t>
      </w:r>
      <w:r>
        <w:t>ü</w:t>
      </w:r>
      <w:r>
        <w:t>ben, erhalten f</w:t>
      </w:r>
      <w:r>
        <w:t>ü</w:t>
      </w:r>
      <w:r>
        <w:t>r die Erteilung nebenamtlichen Unterrichts den entsprechend ihrer Laufbahngruppe ma</w:t>
      </w:r>
      <w:r>
        <w:t>ß</w:t>
      </w:r>
      <w:r>
        <w:t>gebenden Verg</w:t>
      </w:r>
      <w:r>
        <w:t>ü</w:t>
      </w:r>
      <w:r>
        <w:t>tungssatz der Schulform, an der der nebenamtliche Unterricht erteilt wird. Bei zur Wahrung des Besitzstandes unterschiedlichen Verg</w:t>
      </w:r>
      <w:r>
        <w:t>ü</w:t>
      </w:r>
      <w:r>
        <w:t>tungss</w:t>
      </w:r>
      <w:r>
        <w:t>ä</w:t>
      </w:r>
      <w:r>
        <w:t>tzen ist die Besoldungsgruppe ma</w:t>
      </w:r>
      <w:r>
        <w:t>ß</w:t>
      </w:r>
      <w:r>
        <w:t>gebend.</w:t>
      </w:r>
    </w:p>
    <w:p w14:paraId="0E799E72" w14:textId="77777777" w:rsidR="00530537" w:rsidRDefault="00530537">
      <w:pPr>
        <w:pStyle w:val="RVfliesstext175fl"/>
        <w:rPr>
          <w:rFonts w:cs="Arial"/>
        </w:rPr>
      </w:pPr>
      <w:r>
        <w:t>Beispiele:</w:t>
      </w:r>
    </w:p>
    <w:p w14:paraId="6AC03136" w14:textId="77777777" w:rsidR="00530537" w:rsidRDefault="00530537">
      <w:pPr>
        <w:pStyle w:val="RVfliesstext175nb"/>
        <w:widowControl/>
        <w:rPr>
          <w:rFonts w:cs="Arial"/>
        </w:rPr>
      </w:pPr>
      <w:r>
        <w:t>1 Eine Beamtin der Laufbahngruppe des h</w:t>
      </w:r>
      <w:r>
        <w:t>ö</w:t>
      </w:r>
      <w:r>
        <w:t>heren Dienstes erh</w:t>
      </w:r>
      <w:r>
        <w:t>ä</w:t>
      </w:r>
      <w:r>
        <w:t>lt f</w:t>
      </w:r>
      <w:r>
        <w:t>ü</w:t>
      </w:r>
      <w:r>
        <w:t>r die Erteilung nebenamtlichen Unterrichts</w:t>
      </w:r>
    </w:p>
    <w:p w14:paraId="6A2CCE7D" w14:textId="77777777" w:rsidR="00530537" w:rsidRDefault="00530537">
      <w:pPr>
        <w:pStyle w:val="RVfliesstext175nb"/>
        <w:widowControl/>
        <w:rPr>
          <w:rFonts w:cs="Arial"/>
        </w:rPr>
      </w:pPr>
      <w:r>
        <w:t>1.1 an einer Grundschule oder Hauptschule eine Einzelstundenverg</w:t>
      </w:r>
      <w:r>
        <w:t>ü</w:t>
      </w:r>
      <w:r>
        <w:t>tung in H</w:t>
      </w:r>
      <w:r>
        <w:t>ö</w:t>
      </w:r>
      <w:r>
        <w:t xml:space="preserve">he von 25,60 </w:t>
      </w:r>
      <w:r>
        <w:t>€</w:t>
      </w:r>
      <w:r>
        <w:t>,</w:t>
      </w:r>
    </w:p>
    <w:p w14:paraId="53FA8480" w14:textId="77777777" w:rsidR="00530537" w:rsidRDefault="00530537">
      <w:pPr>
        <w:pStyle w:val="RVfliesstext175nb"/>
        <w:widowControl/>
        <w:rPr>
          <w:rFonts w:cs="Arial"/>
        </w:rPr>
      </w:pPr>
      <w:r>
        <w:t>1.2 an einer Realschule eine Einzelstundenverg</w:t>
      </w:r>
      <w:r>
        <w:t>ü</w:t>
      </w:r>
      <w:r>
        <w:t>tung in H</w:t>
      </w:r>
      <w:r>
        <w:t>ö</w:t>
      </w:r>
      <w:r>
        <w:t xml:space="preserve">he von 30,40 </w:t>
      </w:r>
      <w:r>
        <w:t>€</w:t>
      </w:r>
      <w:r>
        <w:t>,</w:t>
      </w:r>
    </w:p>
    <w:p w14:paraId="4CB9FC57" w14:textId="77777777" w:rsidR="00530537" w:rsidRDefault="00530537">
      <w:pPr>
        <w:pStyle w:val="RVfliesstext175nb"/>
        <w:widowControl/>
        <w:rPr>
          <w:rFonts w:cs="Arial"/>
        </w:rPr>
      </w:pPr>
      <w:r>
        <w:t>1.3 an einer beruflichen Schule eine Einzelstundenverg</w:t>
      </w:r>
      <w:r>
        <w:t>ü</w:t>
      </w:r>
      <w:r>
        <w:t>tung in H</w:t>
      </w:r>
      <w:r>
        <w:t>ö</w:t>
      </w:r>
      <w:r>
        <w:t xml:space="preserve">he von 35,54 </w:t>
      </w:r>
      <w:r>
        <w:t>€</w:t>
      </w:r>
      <w:r>
        <w:t>.</w:t>
      </w:r>
    </w:p>
    <w:p w14:paraId="16126748" w14:textId="77777777" w:rsidR="00530537" w:rsidRDefault="00530537">
      <w:pPr>
        <w:pStyle w:val="RVfliesstext175nb"/>
        <w:widowControl/>
        <w:rPr>
          <w:rFonts w:cs="Arial"/>
        </w:rPr>
      </w:pPr>
      <w:r>
        <w:t>2 Eine Beamtin der Laufbahngruppe des gehobenen Dienstes (Besoldungsgruppen A 9 bis A 13) erh</w:t>
      </w:r>
      <w:r>
        <w:t>ä</w:t>
      </w:r>
      <w:r>
        <w:t>lt f</w:t>
      </w:r>
      <w:r>
        <w:t>ü</w:t>
      </w:r>
      <w:r>
        <w:t>r die Erteilung nebenamtlichen Unterrichts grunds</w:t>
      </w:r>
      <w:r>
        <w:t>ä</w:t>
      </w:r>
      <w:r>
        <w:t>tzlich eine Einzelstundenverg</w:t>
      </w:r>
      <w:r>
        <w:t>ü</w:t>
      </w:r>
      <w:r>
        <w:t>tung in H</w:t>
      </w:r>
      <w:r>
        <w:t>ö</w:t>
      </w:r>
      <w:r>
        <w:t xml:space="preserve">he von 20,66 </w:t>
      </w:r>
      <w:r>
        <w:t>€</w:t>
      </w:r>
      <w:r>
        <w:t>.</w:t>
      </w:r>
    </w:p>
    <w:sectPr w:rsidR="00000000">
      <w:footerReference w:type="even" r:id="rId12"/>
      <w:footerReference w:type="default" r:id="rId13"/>
      <w:footerReference w:type="first" r:id="rId14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67949" w14:textId="77777777" w:rsidR="00530537" w:rsidRDefault="00530537">
      <w:pPr>
        <w:widowControl/>
      </w:pPr>
      <w:r>
        <w:rPr>
          <w:rFonts w:cs="Calibri"/>
        </w:rPr>
        <w:separator/>
      </w:r>
    </w:p>
  </w:endnote>
  <w:endnote w:type="continuationSeparator" w:id="0">
    <w:p w14:paraId="1157D391" w14:textId="77777777" w:rsidR="00530537" w:rsidRDefault="00530537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BD6BC" w14:textId="77777777" w:rsidR="00530537" w:rsidRDefault="00530537">
    <w:pPr>
      <w:pStyle w:val="Footer1"/>
      <w:widowControl/>
      <w:tabs>
        <w:tab w:val="clear" w:pos="720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E0A87" w14:textId="77777777" w:rsidR="00530537" w:rsidRDefault="00530537">
    <w:pPr>
      <w:pStyle w:val="Footer1"/>
      <w:widowControl/>
      <w:tabs>
        <w:tab w:val="clear" w:pos="720"/>
      </w:tabs>
    </w:pPr>
    <w:r>
      <w:rPr>
        <w:noProof/>
      </w:rPr>
      <w:pict w14:anchorId="7B8927D7">
        <v:rect id="_x0000_s2050" style="position:absolute;left:0;text-align:left;margin-left:0;margin-top:0;width:1.15pt;height:9.5pt;z-index:-251655168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14:paraId="2BF1D876" w14:textId="77777777" w:rsidR="00530537" w:rsidRDefault="00530537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52D04" w14:textId="77777777" w:rsidR="00530537" w:rsidRDefault="00530537">
    <w:pPr>
      <w:pStyle w:val="Footer1"/>
      <w:widowControl/>
      <w:tabs>
        <w:tab w:val="clear" w:pos="720"/>
      </w:tabs>
    </w:pPr>
    <w:r>
      <w:rPr>
        <w:noProof/>
      </w:rPr>
      <w:pict w14:anchorId="57CA4EDA">
        <v:rect id="_x0000_s2049" style="position:absolute;left:0;text-align:left;margin-left:0;margin-top:0;width:1.15pt;height:9.5pt;z-index:-251657216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14:paraId="07B54064" w14:textId="77777777" w:rsidR="00530537" w:rsidRDefault="00530537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8214D" w14:textId="77777777" w:rsidR="00530537" w:rsidRDefault="00530537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14FC758D" w14:textId="77777777" w:rsidR="00530537" w:rsidRDefault="00530537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073FEE38" w14:textId="77777777" w:rsidR="00530537" w:rsidRDefault="00530537">
      <w:pPr>
        <w:pStyle w:val="RVFunote160nb"/>
        <w:widowControl/>
        <w:tabs>
          <w:tab w:val="clear" w:pos="720"/>
        </w:tabs>
        <w:rPr>
          <w:rFonts w:cs="Calibri"/>
        </w:rPr>
      </w:pPr>
      <w:r>
        <w:rPr>
          <w:rStyle w:val="Funotenzeichen"/>
          <w:rFonts w:ascii="Arial" w:hAnsi="Arial" w:cs="Calibri"/>
          <w:sz w:val="12"/>
        </w:rPr>
        <w:footnoteRef/>
      </w:r>
      <w:r>
        <w:tab/>
        <w:t>Bereinigt</w:t>
      </w:r>
      <w:r>
        <w:rPr>
          <w:rFonts w:cs="Calibri"/>
        </w:rPr>
        <w:t>.</w:t>
      </w:r>
      <w:r>
        <w:t xml:space="preserve"> Eingearbeitet</w:t>
      </w:r>
      <w:r>
        <w:rPr>
          <w:rFonts w:cs="Calibri"/>
        </w:rPr>
        <w:t>:</w:t>
      </w:r>
      <w:r>
        <w:t xml:space="preserve"> </w:t>
      </w:r>
      <w:r>
        <w:rPr>
          <w:rFonts w:cs="Calibri"/>
        </w:rPr>
        <w:br/>
      </w:r>
      <w:r>
        <w:t>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28</w:t>
      </w:r>
      <w:r>
        <w:rPr>
          <w:rFonts w:cs="Calibri"/>
        </w:rPr>
        <w:t>.</w:t>
      </w:r>
      <w:r>
        <w:t>10</w:t>
      </w:r>
      <w:r>
        <w:rPr>
          <w:rFonts w:cs="Calibri"/>
        </w:rPr>
        <w:t>.</w:t>
      </w:r>
      <w:r>
        <w:t xml:space="preserve">2019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12</w:t>
      </w:r>
      <w:r>
        <w:rPr>
          <w:rFonts w:cs="Calibri"/>
        </w:rPr>
        <w:t>/</w:t>
      </w:r>
      <w:r>
        <w:t>19</w:t>
      </w:r>
      <w:r>
        <w:rPr>
          <w:rFonts w:cs="Calibri"/>
        </w:rPr>
        <w:t>)</w:t>
      </w:r>
      <w:r>
        <w:t xml:space="preserve"> </w:t>
      </w:r>
      <w:r>
        <w:rPr>
          <w:rFonts w:cs="Calibri"/>
        </w:rPr>
        <w:br/>
      </w:r>
      <w:r>
        <w:t>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20</w:t>
      </w:r>
      <w:r>
        <w:rPr>
          <w:rFonts w:cs="Calibri"/>
        </w:rPr>
        <w:t>.</w:t>
      </w:r>
      <w:r>
        <w:t>12</w:t>
      </w:r>
      <w:r>
        <w:rPr>
          <w:rFonts w:cs="Calibri"/>
        </w:rPr>
        <w:t>.</w:t>
      </w:r>
      <w:r>
        <w:t xml:space="preserve">2017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02</w:t>
      </w:r>
      <w:r>
        <w:rPr>
          <w:rFonts w:cs="Calibri"/>
        </w:rPr>
        <w:t>/</w:t>
      </w:r>
      <w:r>
        <w:t>18 S</w:t>
      </w:r>
      <w:r>
        <w:rPr>
          <w:rFonts w:cs="Calibri"/>
        </w:rPr>
        <w:t>.</w:t>
      </w:r>
      <w:r>
        <w:t xml:space="preserve"> 38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20</w:t>
      </w:r>
      <w:r>
        <w:t>.</w:t>
      </w:r>
      <w:r>
        <w:rPr>
          <w:rFonts w:cs="Calibri"/>
        </w:rPr>
        <w:t>04</w:t>
      </w:r>
      <w:r>
        <w:t>.</w:t>
      </w:r>
      <w:r>
        <w:rPr>
          <w:rFonts w:cs="Calibri"/>
        </w:rPr>
        <w:t xml:space="preserve">2017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05</w:t>
      </w:r>
      <w:r>
        <w:t>/</w:t>
      </w:r>
      <w:r>
        <w:rPr>
          <w:rFonts w:cs="Calibri"/>
        </w:rPr>
        <w:t>17 S</w:t>
      </w:r>
      <w:r>
        <w:t>.</w:t>
      </w:r>
      <w:r>
        <w:rPr>
          <w:rFonts w:cs="Calibri"/>
        </w:rPr>
        <w:t xml:space="preserve"> 46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20</w:t>
      </w:r>
      <w:r>
        <w:rPr>
          <w:rFonts w:cs="Calibri"/>
        </w:rPr>
        <w:t>.</w:t>
      </w:r>
      <w:r>
        <w:t>04</w:t>
      </w:r>
      <w:r>
        <w:rPr>
          <w:rFonts w:cs="Calibri"/>
        </w:rPr>
        <w:t>.</w:t>
      </w:r>
      <w:r>
        <w:t xml:space="preserve">2016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05</w:t>
      </w:r>
      <w:r>
        <w:rPr>
          <w:rFonts w:cs="Calibri"/>
        </w:rPr>
        <w:t>/</w:t>
      </w:r>
      <w:r>
        <w:t>16 S</w:t>
      </w:r>
      <w:r>
        <w:rPr>
          <w:rFonts w:cs="Calibri"/>
        </w:rPr>
        <w:t>.</w:t>
      </w:r>
      <w:r>
        <w:t xml:space="preserve"> 42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26</w:t>
      </w:r>
      <w:r>
        <w:t>.</w:t>
      </w:r>
      <w:r>
        <w:rPr>
          <w:rFonts w:cs="Calibri"/>
        </w:rPr>
        <w:t>01</w:t>
      </w:r>
      <w:r>
        <w:t>.</w:t>
      </w:r>
      <w:r>
        <w:rPr>
          <w:rFonts w:cs="Calibri"/>
        </w:rPr>
        <w:t xml:space="preserve">2016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02</w:t>
      </w:r>
      <w:r>
        <w:t>/</w:t>
      </w:r>
      <w:r>
        <w:rPr>
          <w:rFonts w:cs="Calibri"/>
        </w:rPr>
        <w:t>16 S</w:t>
      </w:r>
      <w:r>
        <w:t>.</w:t>
      </w:r>
      <w:r>
        <w:rPr>
          <w:rFonts w:cs="Calibri"/>
        </w:rPr>
        <w:t xml:space="preserve"> 43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24</w:t>
      </w:r>
      <w:r>
        <w:rPr>
          <w:rFonts w:cs="Calibri"/>
        </w:rPr>
        <w:t>.</w:t>
      </w:r>
      <w:r>
        <w:t>11</w:t>
      </w:r>
      <w:r>
        <w:rPr>
          <w:rFonts w:cs="Calibri"/>
        </w:rPr>
        <w:t>.</w:t>
      </w:r>
      <w:r>
        <w:t xml:space="preserve">2013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619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03</w:t>
      </w:r>
      <w:r>
        <w:t>.</w:t>
      </w:r>
      <w:r>
        <w:rPr>
          <w:rFonts w:cs="Calibri"/>
        </w:rPr>
        <w:t>10</w:t>
      </w:r>
      <w:r>
        <w:t>.</w:t>
      </w:r>
      <w:r>
        <w:rPr>
          <w:rFonts w:cs="Calibri"/>
        </w:rPr>
        <w:t xml:space="preserve">2013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565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16</w:t>
      </w:r>
      <w:r>
        <w:rPr>
          <w:rFonts w:cs="Calibri"/>
        </w:rPr>
        <w:t>.</w:t>
      </w:r>
      <w:r>
        <w:t>01</w:t>
      </w:r>
      <w:r>
        <w:rPr>
          <w:rFonts w:cs="Calibri"/>
        </w:rPr>
        <w:t>.</w:t>
      </w:r>
      <w:r>
        <w:t xml:space="preserve">2004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54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06</w:t>
      </w:r>
      <w:r>
        <w:t>.</w:t>
      </w:r>
      <w:r>
        <w:rPr>
          <w:rFonts w:cs="Calibri"/>
        </w:rPr>
        <w:t>12</w:t>
      </w:r>
      <w:r>
        <w:t>.</w:t>
      </w:r>
      <w:r>
        <w:rPr>
          <w:rFonts w:cs="Calibri"/>
        </w:rPr>
        <w:t xml:space="preserve">1999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1 01</w:t>
      </w:r>
      <w:r>
        <w:t>/</w:t>
      </w:r>
      <w:r>
        <w:rPr>
          <w:rFonts w:cs="Calibri"/>
        </w:rPr>
        <w:t>00 S</w:t>
      </w:r>
      <w:r>
        <w:t>.</w:t>
      </w:r>
      <w:r>
        <w:rPr>
          <w:rFonts w:cs="Calibri"/>
        </w:rPr>
        <w:t xml:space="preserve"> 14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02</w:t>
      </w:r>
      <w:r>
        <w:rPr>
          <w:rFonts w:cs="Calibri"/>
        </w:rPr>
        <w:t>.</w:t>
      </w:r>
      <w:r>
        <w:t>10</w:t>
      </w:r>
      <w:r>
        <w:rPr>
          <w:rFonts w:cs="Calibri"/>
        </w:rPr>
        <w:t>.</w:t>
      </w:r>
      <w:r>
        <w:t xml:space="preserve">1998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1 S</w:t>
      </w:r>
      <w:r>
        <w:rPr>
          <w:rFonts w:cs="Calibri"/>
        </w:rPr>
        <w:t>.</w:t>
      </w:r>
      <w:r>
        <w:t xml:space="preserve"> 200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16</w:t>
      </w:r>
      <w:r>
        <w:t>.</w:t>
      </w:r>
      <w:r>
        <w:rPr>
          <w:rFonts w:cs="Calibri"/>
        </w:rPr>
        <w:t>04</w:t>
      </w:r>
      <w:r>
        <w:t>.</w:t>
      </w:r>
      <w:r>
        <w:rPr>
          <w:rFonts w:cs="Calibri"/>
        </w:rPr>
        <w:t xml:space="preserve">1997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I S</w:t>
      </w:r>
      <w:r>
        <w:t>.</w:t>
      </w:r>
      <w:r>
        <w:rPr>
          <w:rFonts w:cs="Calibri"/>
        </w:rPr>
        <w:t xml:space="preserve"> 125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26</w:t>
      </w:r>
      <w:r>
        <w:rPr>
          <w:rFonts w:cs="Calibri"/>
        </w:rPr>
        <w:t>.</w:t>
      </w:r>
      <w:r>
        <w:t>03</w:t>
      </w:r>
      <w:r>
        <w:rPr>
          <w:rFonts w:cs="Calibri"/>
        </w:rPr>
        <w:t>.</w:t>
      </w:r>
      <w:r>
        <w:t xml:space="preserve">1996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I S</w:t>
      </w:r>
      <w:r>
        <w:rPr>
          <w:rFonts w:cs="Calibri"/>
        </w:rPr>
        <w:t>.</w:t>
      </w:r>
      <w:r>
        <w:t xml:space="preserve"> 84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30</w:t>
      </w:r>
      <w:r>
        <w:t>.</w:t>
      </w:r>
      <w:r>
        <w:rPr>
          <w:rFonts w:cs="Calibri"/>
        </w:rPr>
        <w:t>09</w:t>
      </w:r>
      <w:r>
        <w:t>.</w:t>
      </w:r>
      <w:r>
        <w:rPr>
          <w:rFonts w:cs="Calibri"/>
        </w:rPr>
        <w:t xml:space="preserve">1994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I S</w:t>
      </w:r>
      <w:r>
        <w:t>.</w:t>
      </w:r>
      <w:r>
        <w:rPr>
          <w:rFonts w:cs="Calibri"/>
        </w:rPr>
        <w:t xml:space="preserve"> 239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10</w:t>
      </w:r>
      <w:r>
        <w:rPr>
          <w:rFonts w:cs="Calibri"/>
        </w:rPr>
        <w:t>.</w:t>
      </w:r>
      <w:r>
        <w:t>03</w:t>
      </w:r>
      <w:r>
        <w:rPr>
          <w:rFonts w:cs="Calibri"/>
        </w:rPr>
        <w:t>.</w:t>
      </w:r>
      <w:r>
        <w:t xml:space="preserve">1994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I S</w:t>
      </w:r>
      <w:r>
        <w:rPr>
          <w:rFonts w:cs="Calibri"/>
        </w:rPr>
        <w:t>.</w:t>
      </w:r>
      <w:r>
        <w:t xml:space="preserve"> 64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11</w:t>
      </w:r>
      <w:r>
        <w:t>.</w:t>
      </w:r>
      <w:r>
        <w:rPr>
          <w:rFonts w:cs="Calibri"/>
        </w:rPr>
        <w:t>05</w:t>
      </w:r>
      <w:r>
        <w:t>.</w:t>
      </w:r>
      <w:r>
        <w:rPr>
          <w:rFonts w:cs="Calibri"/>
        </w:rPr>
        <w:t xml:space="preserve">1993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I S</w:t>
      </w:r>
      <w:r>
        <w:t>.</w:t>
      </w:r>
      <w:r>
        <w:rPr>
          <w:rFonts w:cs="Calibri"/>
        </w:rPr>
        <w:t xml:space="preserve"> 116</w:t>
      </w:r>
      <w:r>
        <w:t>)</w:t>
      </w:r>
      <w:r>
        <w:rPr>
          <w:rFonts w:cs="Calibri"/>
        </w:rPr>
        <w:t>;</w:t>
      </w:r>
      <w:r>
        <w:t xml:space="preserve"> </w:t>
      </w:r>
      <w:r>
        <w:rPr>
          <w:rFonts w:cs="Calibri"/>
        </w:rPr>
        <w:br/>
      </w:r>
      <w:r>
        <w:t>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27</w:t>
      </w:r>
      <w:r>
        <w:rPr>
          <w:rFonts w:cs="Calibri"/>
        </w:rPr>
        <w:t>.</w:t>
      </w:r>
      <w:r>
        <w:t>05</w:t>
      </w:r>
      <w:r>
        <w:rPr>
          <w:rFonts w:cs="Calibri"/>
        </w:rPr>
        <w:t>.</w:t>
      </w:r>
      <w:r>
        <w:t xml:space="preserve">1992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164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18</w:t>
      </w:r>
      <w:r>
        <w:t>.</w:t>
      </w:r>
      <w:r>
        <w:rPr>
          <w:rFonts w:cs="Calibri"/>
        </w:rPr>
        <w:t>03</w:t>
      </w:r>
      <w:r>
        <w:t>.</w:t>
      </w:r>
      <w:r>
        <w:rPr>
          <w:rFonts w:cs="Calibri"/>
        </w:rPr>
        <w:t xml:space="preserve">1989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152</w:t>
      </w:r>
      <w:r>
        <w:t>)</w:t>
      </w:r>
      <w:r>
        <w:rPr>
          <w:rFonts w:cs="Calibri"/>
        </w:rPr>
        <w:t xml:space="preserve"> </w:t>
      </w:r>
      <w:r>
        <w:br/>
      </w: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11</w:t>
      </w:r>
      <w:r>
        <w:t>.</w:t>
      </w:r>
      <w:r>
        <w:rPr>
          <w:rFonts w:cs="Calibri"/>
        </w:rPr>
        <w:t>09</w:t>
      </w:r>
      <w:r>
        <w:t>.</w:t>
      </w:r>
      <w:r>
        <w:rPr>
          <w:rFonts w:cs="Calibri"/>
        </w:rPr>
        <w:t xml:space="preserve">1987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554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20</w:t>
      </w:r>
      <w:r>
        <w:rPr>
          <w:rFonts w:cs="Calibri"/>
        </w:rPr>
        <w:t>.</w:t>
      </w:r>
      <w:r>
        <w:t>08</w:t>
      </w:r>
      <w:r>
        <w:rPr>
          <w:rFonts w:cs="Calibri"/>
        </w:rPr>
        <w:t>.</w:t>
      </w:r>
      <w:r>
        <w:t xml:space="preserve">1986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574</w:t>
      </w:r>
      <w:r>
        <w:rPr>
          <w:rFonts w:cs="Calibri"/>
        </w:rPr>
        <w:t>)</w:t>
      </w:r>
      <w:r>
        <w:t xml:space="preserve"> </w:t>
      </w:r>
      <w:r>
        <w:rPr>
          <w:rFonts w:cs="Calibri"/>
        </w:rPr>
        <w:br/>
      </w:r>
      <w:r>
        <w:t>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20</w:t>
      </w:r>
      <w:r>
        <w:rPr>
          <w:rFonts w:cs="Calibri"/>
        </w:rPr>
        <w:t>.</w:t>
      </w:r>
      <w:r>
        <w:t>05</w:t>
      </w:r>
      <w:r>
        <w:rPr>
          <w:rFonts w:cs="Calibri"/>
        </w:rPr>
        <w:t>.</w:t>
      </w:r>
      <w:r>
        <w:t xml:space="preserve">1986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371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12</w:t>
      </w:r>
      <w:r>
        <w:t>.</w:t>
      </w:r>
      <w:r>
        <w:rPr>
          <w:rFonts w:cs="Calibri"/>
        </w:rPr>
        <w:t>02</w:t>
      </w:r>
      <w:r>
        <w:t>.</w:t>
      </w:r>
      <w:r>
        <w:rPr>
          <w:rFonts w:cs="Calibri"/>
        </w:rPr>
        <w:t xml:space="preserve">1985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207</w:t>
      </w:r>
      <w:r>
        <w:t>)</w:t>
      </w:r>
    </w:p>
  </w:footnote>
  <w:footnote w:id="2">
    <w:p w14:paraId="3AA298D6" w14:textId="77777777" w:rsidR="00530537" w:rsidRDefault="00530537">
      <w:pPr>
        <w:pStyle w:val="RVFunote160kb"/>
        <w:tabs>
          <w:tab w:val="clear" w:pos="720"/>
        </w:tabs>
        <w:rPr>
          <w:rFonts w:cs="Arial"/>
        </w:rPr>
      </w:pPr>
      <w:r>
        <w:rPr>
          <w:rStyle w:val="Funotenzeichen"/>
          <w:rFonts w:ascii="Arial" w:hAnsi="Arial" w:cs="Arial"/>
          <w:sz w:val="12"/>
        </w:rPr>
        <w:footnoteRef/>
      </w:r>
      <w:r>
        <w:tab/>
        <w:t>Die Bundesmehrarbeitsverg</w:t>
      </w:r>
      <w:r>
        <w:t>ü</w:t>
      </w:r>
      <w:r>
        <w:t xml:space="preserve">tungsverordnung </w:t>
      </w:r>
      <w:r>
        <w:rPr>
          <w:rFonts w:cs="Arial"/>
        </w:rPr>
        <w:t>-</w:t>
      </w:r>
      <w:r>
        <w:t xml:space="preserve"> BMVergV wurde zuletzt ge</w:t>
      </w:r>
      <w:r>
        <w:t>ä</w:t>
      </w:r>
      <w:r>
        <w:t>ndert am 9</w:t>
      </w:r>
      <w:r>
        <w:rPr>
          <w:rFonts w:cs="Arial"/>
        </w:rPr>
        <w:t>.</w:t>
      </w:r>
      <w:r>
        <w:t>7</w:t>
      </w:r>
      <w:r>
        <w:rPr>
          <w:rFonts w:cs="Arial"/>
        </w:rPr>
        <w:t>.</w:t>
      </w:r>
      <w:r>
        <w:t xml:space="preserve">2021 </w:t>
      </w:r>
      <w:r>
        <w:rPr>
          <w:rFonts w:cs="Arial"/>
        </w:rPr>
        <w:t>(</w:t>
      </w:r>
      <w:r>
        <w:t>BGBl I S</w:t>
      </w:r>
      <w:r>
        <w:rPr>
          <w:rFonts w:cs="Arial"/>
        </w:rPr>
        <w:t>.</w:t>
      </w:r>
      <w:r>
        <w:t xml:space="preserve"> 2444</w:t>
      </w:r>
      <w:r>
        <w:rPr>
          <w:rFonts w:cs="Arial"/>
        </w:rPr>
        <w:t>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54B9C"/>
    <w:rsid w:val="00530537"/>
    <w:rsid w:val="00A339FA"/>
    <w:rsid w:val="00B5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B1FA79E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lietext">
    <w:name w:val="Fließ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unote160kb">
    <w:name w:val="RV_Fuß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bidi="hi-IN"/>
    </w:rPr>
  </w:style>
  <w:style w:type="paragraph" w:customStyle="1" w:styleId="RVFunote160nb">
    <w:name w:val="RV_Fuß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berschrift">
    <w:name w:val="RV_tabellenü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note175nb">
    <w:name w:val="RV_Anlagen_Fuß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-Tabelle-Rechtsbndig">
    <w:name w:val="RV-Tabelle - Rechtsbü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Ü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stchenWindings">
    <w:name w:val="Kä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ei">
    <w:name w:val="weiß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WAbsatzpunktDerschnelleberblick">
    <w:name w:val="SW Absatzpunkt Der schnelle Ü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n">
    <w:name w:val="waldgrü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bes_text?anw_nr=2&amp;gld_nr=2&amp;ugl_nr=20320&amp;bes_id=34824&amp;menu=1&amp;sg=0&amp;aufgehoben=N&amp;keyword=LBes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esetze-im-internet.de/marbv/index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cht.nrw.de/lmi/owa/br_text_anzeigen?v_id=6282016100409123314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cht.nrw.de/lmi/owa/br_text_anzeigen?v_id=628201610040912331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62820161004091233148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1753</Words>
  <Characters>11050</Characters>
  <Application>Microsoft Office Word</Application>
  <DocSecurity>0</DocSecurity>
  <Lines>92</Lines>
  <Paragraphs>25</Paragraphs>
  <ScaleCrop>false</ScaleCrop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2024-09-10T02:09:00Z</dcterms:created>
  <dcterms:modified xsi:type="dcterms:W3CDTF">2024-09-10T02:09:00Z</dcterms:modified>
</cp:coreProperties>
</file>