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733E4" w14:textId="77777777" w:rsidR="00DE3207" w:rsidRDefault="00DE3207">
      <w:pPr>
        <w:pStyle w:val="Bass-Nr"/>
        <w:keepNext/>
        <w:rPr>
          <w:rFonts w:cs="Calibri"/>
        </w:rPr>
      </w:pPr>
      <w:r>
        <w:t>21-21 Nr. 11</w:t>
      </w:r>
    </w:p>
    <w:p w14:paraId="550E50C6" w14:textId="77777777" w:rsidR="00DE3207" w:rsidRDefault="00DE3207">
      <w:pPr>
        <w:pStyle w:val="RVueberschrift1100fz"/>
        <w:keepNext/>
        <w:keepLines/>
      </w:pPr>
      <w:bookmarkStart w:id="0" w:name="21-21nr11"/>
      <w:bookmarkEnd w:id="0"/>
      <w:r>
        <w:t>Sonderregelungen f</w:t>
      </w:r>
      <w:r>
        <w:t>ü</w:t>
      </w:r>
      <w:r>
        <w:t xml:space="preserve">r Waldorfschulen </w:t>
      </w:r>
      <w:r>
        <w:rPr>
          <w:rFonts w:cs="Calibri"/>
        </w:rPr>
        <w:br/>
        <w:t xml:space="preserve">- Haustarif und Refinanzierung </w:t>
      </w:r>
      <w:r>
        <w:rPr>
          <w:rFonts w:cs="Calibri"/>
        </w:rPr>
        <w:br/>
        <w:t>sowie Eingruppierung von Waldorf-Klassenlehrern</w:t>
      </w:r>
    </w:p>
    <w:p w14:paraId="213D9672" w14:textId="77777777" w:rsidR="00DE3207" w:rsidRDefault="00DE3207">
      <w:pPr>
        <w:pStyle w:val="RVueberschrift285nz"/>
        <w:keepNext/>
        <w:keepLines/>
      </w:pPr>
      <w:r>
        <w:rPr>
          <w:rFonts w:cs="Calibri"/>
        </w:rPr>
        <w:t>RdErl</w:t>
      </w:r>
      <w:r>
        <w:t>.</w:t>
      </w:r>
      <w:r>
        <w:rPr>
          <w:rFonts w:cs="Calibri"/>
        </w:rPr>
        <w:t xml:space="preserve"> d</w:t>
      </w:r>
      <w:r>
        <w:t>.</w:t>
      </w:r>
      <w:r>
        <w:rPr>
          <w:rFonts w:cs="Calibri"/>
        </w:rPr>
        <w:t xml:space="preserve"> Kultusministeriums </w:t>
      </w:r>
      <w:r>
        <w:rPr>
          <w:rFonts w:cs="Calibri"/>
        </w:rPr>
        <w:br/>
        <w:t>v</w:t>
      </w:r>
      <w:r>
        <w:t>.</w:t>
      </w:r>
      <w:r>
        <w:rPr>
          <w:rFonts w:cs="Calibri"/>
        </w:rPr>
        <w:t xml:space="preserve"> 26</w:t>
      </w:r>
      <w:r>
        <w:t>.</w:t>
      </w:r>
      <w:r>
        <w:rPr>
          <w:rFonts w:cs="Calibri"/>
        </w:rPr>
        <w:t>07</w:t>
      </w:r>
      <w:r>
        <w:t>.</w:t>
      </w:r>
      <w:r>
        <w:rPr>
          <w:rFonts w:cs="Calibri"/>
        </w:rPr>
        <w:t xml:space="preserve">1994 </w:t>
      </w:r>
      <w:r>
        <w:t>(</w:t>
      </w:r>
      <w:r>
        <w:rPr>
          <w:rFonts w:cs="Calibri"/>
        </w:rPr>
        <w:t>GABl</w:t>
      </w:r>
      <w:r>
        <w:t>.</w:t>
      </w:r>
      <w:r>
        <w:rPr>
          <w:rFonts w:cs="Calibri"/>
        </w:rPr>
        <w:t xml:space="preserve"> NW</w:t>
      </w:r>
      <w:r>
        <w:t>.</w:t>
      </w:r>
      <w:r>
        <w:rPr>
          <w:rFonts w:cs="Calibri"/>
        </w:rPr>
        <w:t xml:space="preserve"> I S</w:t>
      </w:r>
      <w:r>
        <w:t>.</w:t>
      </w:r>
      <w:r>
        <w:rPr>
          <w:rFonts w:cs="Calibri"/>
        </w:rPr>
        <w:t xml:space="preserve"> 214</w:t>
      </w:r>
      <w:r>
        <w:t>)</w:t>
      </w:r>
      <w:r>
        <w:rPr>
          <w:rStyle w:val="FootnoteReference"/>
          <w:rFonts w:ascii="Arial" w:hAnsi="Arial" w:cs="Calibri"/>
        </w:rPr>
        <w:footnoteReference w:id="1"/>
      </w:r>
    </w:p>
    <w:p w14:paraId="52C1628A" w14:textId="77777777" w:rsidR="00DE3207" w:rsidRDefault="00DE3207">
      <w:pPr>
        <w:pStyle w:val="RVueberschrift285fz"/>
        <w:keepNext/>
        <w:keepLines/>
        <w:rPr>
          <w:rFonts w:cs="Arial"/>
        </w:rPr>
      </w:pPr>
      <w:r>
        <w:t>1 Haustarife</w:t>
      </w:r>
    </w:p>
    <w:p w14:paraId="5FEE1AC7" w14:textId="77777777" w:rsidR="00DE3207" w:rsidRDefault="00DE3207">
      <w:pPr>
        <w:pStyle w:val="RVfliesstext175nb"/>
        <w:widowControl/>
        <w:rPr>
          <w:rFonts w:cs="Arial"/>
        </w:rPr>
      </w:pPr>
      <w:r>
        <w:t>Waldorfschulen k</w:t>
      </w:r>
      <w:r>
        <w:t>ö</w:t>
      </w:r>
      <w:r>
        <w:t>nnen die Geh</w:t>
      </w:r>
      <w:r>
        <w:t>ä</w:t>
      </w:r>
      <w:r>
        <w:t>lter der dort besch</w:t>
      </w:r>
      <w:r>
        <w:t>ä</w:t>
      </w:r>
      <w:r>
        <w:t>ftigten Lehrkr</w:t>
      </w:r>
      <w:r>
        <w:t>ä</w:t>
      </w:r>
      <w:r>
        <w:t>fte nach einer Gehaltsordnung berechnen, die sich das Kollegium selbst gibt und die - bei im Grundsatz gleicher Verg</w:t>
      </w:r>
      <w:r>
        <w:t>ü</w:t>
      </w:r>
      <w:r>
        <w:t>tung aller Lehrkr</w:t>
      </w:r>
      <w:r>
        <w:t>ä</w:t>
      </w:r>
      <w:r>
        <w:t>fte - Zuschl</w:t>
      </w:r>
      <w:r>
        <w:t>ä</w:t>
      </w:r>
      <w:r>
        <w:t>ge unterschiedlicher Art entsprechend der pers</w:t>
      </w:r>
      <w:r>
        <w:t>ö</w:t>
      </w:r>
      <w:r>
        <w:t>nlichen Situation vorsieht (Haustarif).</w:t>
      </w:r>
    </w:p>
    <w:p w14:paraId="4C862B8B" w14:textId="77777777" w:rsidR="00DE3207" w:rsidRDefault="00DE3207">
      <w:pPr>
        <w:pStyle w:val="RVfliesstext175nb"/>
        <w:widowControl/>
        <w:rPr>
          <w:rFonts w:cs="Arial"/>
        </w:rPr>
      </w:pPr>
      <w:r>
        <w:t>Diese Verg</w:t>
      </w:r>
      <w:r>
        <w:t>ü</w:t>
      </w:r>
      <w:r>
        <w:t>tung nach Haustarif ist unter folgenden Bedingungen zul</w:t>
      </w:r>
      <w:r>
        <w:t>ä</w:t>
      </w:r>
      <w:r>
        <w:t>ssig:</w:t>
      </w:r>
    </w:p>
    <w:p w14:paraId="524158E0" w14:textId="77777777" w:rsidR="00DE3207" w:rsidRDefault="00DE3207">
      <w:pPr>
        <w:pStyle w:val="RVfliesstext175nb"/>
        <w:widowControl/>
      </w:pPr>
      <w:r>
        <w:t>1.1 Die Arbeitsvertr</w:t>
      </w:r>
      <w:r>
        <w:t>ä</w:t>
      </w:r>
      <w:r>
        <w:t>ge m</w:t>
      </w:r>
      <w:r>
        <w:t>ü</w:t>
      </w:r>
      <w:r>
        <w:t xml:space="preserve">ssen die Regelungen nach </w:t>
      </w:r>
      <w:r>
        <w:t>§</w:t>
      </w:r>
      <w:r>
        <w:t xml:space="preserve"> 11 Absatz 1 Satz 1 der Verordnung </w:t>
      </w:r>
      <w:r>
        <w:t>ü</w:t>
      </w:r>
      <w:r>
        <w:t xml:space="preserve">ber die Ersatzschulen </w:t>
      </w:r>
      <w:hyperlink w:anchor="https://bass.schul-welt.de/6972.htm#10-02nr1p4(3)" w:history="1">
        <w:r>
          <w:t>(BASS 10-02 Nr. 1)</w:t>
        </w:r>
      </w:hyperlink>
      <w:r>
        <w:rPr>
          <w:rFonts w:cs="Arial"/>
        </w:rPr>
        <w:t xml:space="preserve"> treffen.</w:t>
      </w:r>
    </w:p>
    <w:p w14:paraId="2FFB5A00" w14:textId="77777777" w:rsidR="00DE3207" w:rsidRDefault="00DE3207">
      <w:pPr>
        <w:pStyle w:val="RVfliesstext175nb"/>
        <w:widowControl/>
      </w:pPr>
      <w:r>
        <w:rPr>
          <w:rFonts w:cs="Arial"/>
        </w:rPr>
        <w:t>1.2 Die H</w:t>
      </w:r>
      <w:r>
        <w:rPr>
          <w:rFonts w:cs="Arial"/>
        </w:rPr>
        <w:t>ö</w:t>
      </w:r>
      <w:r>
        <w:rPr>
          <w:rFonts w:cs="Arial"/>
        </w:rPr>
        <w:t>he der Verg</w:t>
      </w:r>
      <w:r>
        <w:rPr>
          <w:rFonts w:cs="Arial"/>
        </w:rPr>
        <w:t>ü</w:t>
      </w:r>
      <w:r>
        <w:rPr>
          <w:rFonts w:cs="Arial"/>
        </w:rPr>
        <w:t>tung zum Zeitpunkt des Vertragsabschlusses muss konkret nach Grundverg</w:t>
      </w:r>
      <w:r>
        <w:rPr>
          <w:rFonts w:cs="Arial"/>
        </w:rPr>
        <w:t>ü</w:t>
      </w:r>
      <w:r>
        <w:rPr>
          <w:rFonts w:cs="Arial"/>
        </w:rPr>
        <w:t>tung und Zuschl</w:t>
      </w:r>
      <w:r>
        <w:rPr>
          <w:rFonts w:cs="Arial"/>
        </w:rPr>
        <w:t>ä</w:t>
      </w:r>
      <w:r>
        <w:rPr>
          <w:rFonts w:cs="Arial"/>
        </w:rPr>
        <w:t>gen angegeben sein. Zur Anpassung der Verg</w:t>
      </w:r>
      <w:r>
        <w:rPr>
          <w:rFonts w:cs="Arial"/>
        </w:rPr>
        <w:t>ü</w:t>
      </w:r>
      <w:r>
        <w:rPr>
          <w:rFonts w:cs="Arial"/>
        </w:rPr>
        <w:t>tung und der Zuschl</w:t>
      </w:r>
      <w:r>
        <w:rPr>
          <w:rFonts w:cs="Arial"/>
        </w:rPr>
        <w:t>ä</w:t>
      </w:r>
      <w:r>
        <w:rPr>
          <w:rFonts w:cs="Arial"/>
        </w:rPr>
        <w:t>ge kann auf die Gehaltsordnung des Kollegiums verwiesen werden. Diese ist als Anlage dem Arbeitsvertrag in der zu diesem Zeitpunkt geltenden Fassung beizuf</w:t>
      </w:r>
      <w:r>
        <w:rPr>
          <w:rFonts w:cs="Arial"/>
        </w:rPr>
        <w:t>ü</w:t>
      </w:r>
      <w:r>
        <w:rPr>
          <w:rFonts w:cs="Arial"/>
        </w:rPr>
        <w:t>gen.</w:t>
      </w:r>
    </w:p>
    <w:p w14:paraId="58B8768F" w14:textId="77777777" w:rsidR="00DE3207" w:rsidRDefault="00DE3207">
      <w:pPr>
        <w:pStyle w:val="RVfliesstext175nb"/>
        <w:widowControl/>
      </w:pPr>
      <w:r>
        <w:rPr>
          <w:rFonts w:cs="Arial"/>
        </w:rPr>
        <w:t>1.3 Die Geh</w:t>
      </w:r>
      <w:r>
        <w:rPr>
          <w:rFonts w:cs="Arial"/>
        </w:rPr>
        <w:t>ä</w:t>
      </w:r>
      <w:r>
        <w:rPr>
          <w:rFonts w:cs="Arial"/>
        </w:rPr>
        <w:t>lter der Lehrerinnen und Lehrer d</w:t>
      </w:r>
      <w:r>
        <w:rPr>
          <w:rFonts w:cs="Arial"/>
        </w:rPr>
        <w:t>ü</w:t>
      </w:r>
      <w:r>
        <w:rPr>
          <w:rFonts w:cs="Arial"/>
        </w:rPr>
        <w:t xml:space="preserve">rfen die in </w:t>
      </w:r>
      <w:hyperlink w:anchor="https://bass.schul-welt.de/6972.htm#10-02nr1p11(1)" w:history="1">
        <w:r>
          <w:rPr>
            <w:rFonts w:cs="Arial"/>
          </w:rPr>
          <w:t xml:space="preserve">§ 11 Absatz 1 </w:t>
        </w:r>
      </w:hyperlink>
      <w:r>
        <w:t>Satz 2</w:t>
      </w:r>
      <w:r>
        <w:rPr>
          <w:rFonts w:cs="Arial"/>
        </w:rPr>
        <w:t xml:space="preserve"> Ersatzschulverordnung genannten Mindestentgelte nicht unterschreiten. Dabei sind in den Haustarifen die waldorf-spezifischen Alters- und Familienzuschl</w:t>
      </w:r>
      <w:r>
        <w:rPr>
          <w:rFonts w:cs="Arial"/>
        </w:rPr>
        <w:t>ä</w:t>
      </w:r>
      <w:r>
        <w:rPr>
          <w:rFonts w:cs="Arial"/>
        </w:rPr>
        <w:t>ge zu ber</w:t>
      </w:r>
      <w:r>
        <w:rPr>
          <w:rFonts w:cs="Arial"/>
        </w:rPr>
        <w:t>ü</w:t>
      </w:r>
      <w:r>
        <w:rPr>
          <w:rFonts w:cs="Arial"/>
        </w:rPr>
        <w:t>cksichtigen.</w:t>
      </w:r>
    </w:p>
    <w:p w14:paraId="37A92D82" w14:textId="77777777" w:rsidR="00DE3207" w:rsidRDefault="00DE3207">
      <w:pPr>
        <w:pStyle w:val="RVfliesstext175nb"/>
        <w:widowControl/>
      </w:pPr>
      <w:r>
        <w:rPr>
          <w:rFonts w:cs="Arial"/>
        </w:rPr>
        <w:t>1.4 Die an anderen Waldorfschulen verbrachte Zeit als Lehrkraft kann bei der Gehaltsfestsetzung nach Haustarif ber</w:t>
      </w:r>
      <w:r>
        <w:rPr>
          <w:rFonts w:cs="Arial"/>
        </w:rPr>
        <w:t>ü</w:t>
      </w:r>
      <w:r>
        <w:rPr>
          <w:rFonts w:cs="Arial"/>
        </w:rPr>
        <w:t>cksichtigt werden.</w:t>
      </w:r>
    </w:p>
    <w:p w14:paraId="70439ABB" w14:textId="77777777" w:rsidR="00DE3207" w:rsidRDefault="00DE3207">
      <w:pPr>
        <w:pStyle w:val="RVueberschrift285fz"/>
        <w:keepNext/>
        <w:keepLines/>
      </w:pPr>
      <w:r>
        <w:rPr>
          <w:rFonts w:cs="Arial"/>
        </w:rPr>
        <w:t>2 Refinanzierung</w:t>
      </w:r>
    </w:p>
    <w:p w14:paraId="6C93F536" w14:textId="77777777" w:rsidR="00DE3207" w:rsidRDefault="00DE3207">
      <w:pPr>
        <w:pStyle w:val="RVfliesstext175nb"/>
        <w:widowControl/>
        <w:rPr>
          <w:rFonts w:cs="Arial"/>
        </w:rPr>
      </w:pPr>
      <w:r>
        <w:rPr>
          <w:rFonts w:cs="Arial"/>
        </w:rPr>
        <w:t>Bei einer Verg</w:t>
      </w:r>
      <w:r>
        <w:rPr>
          <w:rFonts w:cs="Arial"/>
        </w:rPr>
        <w:t>ü</w:t>
      </w:r>
      <w:r>
        <w:rPr>
          <w:rFonts w:cs="Arial"/>
        </w:rPr>
        <w:t>tung der Lehrkr</w:t>
      </w:r>
      <w:r>
        <w:rPr>
          <w:rFonts w:cs="Arial"/>
        </w:rPr>
        <w:t>ä</w:t>
      </w:r>
      <w:r>
        <w:rPr>
          <w:rFonts w:cs="Arial"/>
        </w:rPr>
        <w:t xml:space="preserve">fte nach Haustarif setzt die Bezuschussung nach den </w:t>
      </w:r>
      <w:hyperlink w:anchor="https://bass.schul-welt.de/6043.htm#1-1p105" w:history="1">
        <w:r>
          <w:rPr>
            <w:rFonts w:cs="Arial"/>
          </w:rPr>
          <w:t>§§ 105 bis 115 SchulG - (BASS 1-1)</w:t>
        </w:r>
      </w:hyperlink>
      <w:r>
        <w:t xml:space="preserve"> Folgendes voraus:</w:t>
      </w:r>
    </w:p>
    <w:p w14:paraId="03330D6F" w14:textId="77777777" w:rsidR="00DE3207" w:rsidRDefault="00DE3207">
      <w:pPr>
        <w:pStyle w:val="RVfliesstext175nb"/>
        <w:widowControl/>
        <w:rPr>
          <w:rFonts w:cs="Arial"/>
        </w:rPr>
      </w:pPr>
      <w:r>
        <w:t>2.1 Der Schultr</w:t>
      </w:r>
      <w:r>
        <w:t>ä</w:t>
      </w:r>
      <w:r>
        <w:t>ger errechnet fiktiv die Gesamtsumme der Verg</w:t>
      </w:r>
      <w:r>
        <w:t>ü</w:t>
      </w:r>
      <w:r>
        <w:t xml:space="preserve">tungen, die den Lehrerinnen und Lehrern nach dem </w:t>
      </w:r>
      <w:r>
        <w:t>ö</w:t>
      </w:r>
      <w:r>
        <w:t>ffentlichen Tarifrecht zustehen w</w:t>
      </w:r>
      <w:r>
        <w:t>ü</w:t>
      </w:r>
      <w:r>
        <w:t>rden. Dazu bedarf es einer fiktiven Eingruppierung jeder Lehrkraft. Dieser Gesamtsumme wird die Gesamtsumme der tats</w:t>
      </w:r>
      <w:r>
        <w:t>ä</w:t>
      </w:r>
      <w:r>
        <w:t>chlich nach dem Haustarif gezahlten Verg</w:t>
      </w:r>
      <w:r>
        <w:t>ü</w:t>
      </w:r>
      <w:r>
        <w:t>tungen gegen</w:t>
      </w:r>
      <w:r>
        <w:t>ü</w:t>
      </w:r>
      <w:r>
        <w:t>bergestellt. Die geringere Summe wird der Bezuschussung zugrunde gelegt.</w:t>
      </w:r>
    </w:p>
    <w:p w14:paraId="589715B1" w14:textId="77777777" w:rsidR="00DE3207" w:rsidRDefault="00DE3207">
      <w:pPr>
        <w:pStyle w:val="RVfliesstext175nb"/>
        <w:widowControl/>
        <w:rPr>
          <w:rFonts w:cs="Arial"/>
        </w:rPr>
      </w:pPr>
      <w:r>
        <w:t>Bei der Ermittlung der fiktiven Verg</w:t>
      </w:r>
      <w:r>
        <w:t>ü</w:t>
      </w:r>
      <w:r>
        <w:t xml:space="preserve">tung einer Lehrerin oder eines Lehrers nach dem </w:t>
      </w:r>
      <w:r>
        <w:t>ö</w:t>
      </w:r>
      <w:r>
        <w:t>ffentlichen Tarifrecht ist bei Neueinstellungen eine einschl</w:t>
      </w:r>
      <w:r>
        <w:t>ä</w:t>
      </w:r>
      <w:r>
        <w:t xml:space="preserve">gige Berufserfahrung nach </w:t>
      </w:r>
      <w:r>
        <w:t>§</w:t>
      </w:r>
      <w:r>
        <w:t xml:space="preserve"> 16 Absatz 2 Satz 2 und 3 des Tarifvertrags f</w:t>
      </w:r>
      <w:r>
        <w:t>ü</w:t>
      </w:r>
      <w:r>
        <w:t xml:space="preserve">r </w:t>
      </w:r>
      <w:hyperlink r:id="rId7" w:history="1">
        <w:r>
          <w:t>den öffentlichen Dienst der Länder (TV-L</w:t>
        </w:r>
      </w:hyperlink>
      <w:r>
        <w:rPr>
          <w:rFonts w:cs="Arial"/>
        </w:rPr>
        <w:t>) anzurechnen. Vorherige berufliche T</w:t>
      </w:r>
      <w:r>
        <w:rPr>
          <w:rFonts w:cs="Arial"/>
        </w:rPr>
        <w:t>ä</w:t>
      </w:r>
      <w:r>
        <w:rPr>
          <w:rFonts w:cs="Arial"/>
        </w:rPr>
        <w:t>tigkeiten, die f</w:t>
      </w:r>
      <w:r>
        <w:rPr>
          <w:rFonts w:cs="Arial"/>
        </w:rPr>
        <w:t>ü</w:t>
      </w:r>
      <w:r>
        <w:rPr>
          <w:rFonts w:cs="Arial"/>
        </w:rPr>
        <w:t>r die vorgesehene T</w:t>
      </w:r>
      <w:r>
        <w:rPr>
          <w:rFonts w:cs="Arial"/>
        </w:rPr>
        <w:t>ä</w:t>
      </w:r>
      <w:r>
        <w:rPr>
          <w:rFonts w:cs="Arial"/>
        </w:rPr>
        <w:t>tigkeit f</w:t>
      </w:r>
      <w:r>
        <w:rPr>
          <w:rFonts w:cs="Arial"/>
        </w:rPr>
        <w:t>ö</w:t>
      </w:r>
      <w:r>
        <w:rPr>
          <w:rFonts w:cs="Arial"/>
        </w:rPr>
        <w:t>rderlich sind, k</w:t>
      </w:r>
      <w:r>
        <w:rPr>
          <w:rFonts w:cs="Arial"/>
        </w:rPr>
        <w:t>ö</w:t>
      </w:r>
      <w:r>
        <w:rPr>
          <w:rFonts w:cs="Arial"/>
        </w:rPr>
        <w:t xml:space="preserve">nnen </w:t>
      </w:r>
      <w:hyperlink r:id="rId8" w:history="1">
        <w:r>
          <w:rPr>
            <w:rFonts w:cs="Arial"/>
          </w:rPr>
          <w:t>nach § 16 Absatz 2 Satz 4 und Absatz 5 TV-L</w:t>
        </w:r>
      </w:hyperlink>
      <w:r>
        <w:t xml:space="preserve"> ber</w:t>
      </w:r>
      <w:r>
        <w:t>ü</w:t>
      </w:r>
      <w:r>
        <w:t>cksichtigt werden. F</w:t>
      </w:r>
      <w:r>
        <w:t>ü</w:t>
      </w:r>
      <w:r>
        <w:t xml:space="preserve">r </w:t>
      </w:r>
      <w:r>
        <w:t>ü</w:t>
      </w:r>
      <w:r>
        <w:t>bergeleitete Lehrerinnen und Lehrer gelten die Bestimmungen des Tarif</w:t>
      </w:r>
      <w:hyperlink r:id="rId9" w:history="1">
        <w:r>
          <w:t>vertrags zur Überleitung der Beschäftigten der Länder in den TV-L (TVÜ-</w:t>
        </w:r>
      </w:hyperlink>
      <w:r>
        <w:rPr>
          <w:rFonts w:cs="Arial"/>
        </w:rPr>
        <w:t>L</w:t>
      </w:r>
      <w:r>
        <w:rPr>
          <w:rFonts w:cs="Arial"/>
        </w:rPr>
        <w:t>ä</w:t>
      </w:r>
      <w:r>
        <w:rPr>
          <w:rFonts w:cs="Arial"/>
        </w:rPr>
        <w:t>nder</w:t>
      </w:r>
      <w:r>
        <w:t>).</w:t>
      </w:r>
    </w:p>
    <w:p w14:paraId="37281440" w14:textId="77777777" w:rsidR="00DE3207" w:rsidRDefault="00DE3207">
      <w:pPr>
        <w:pStyle w:val="RVfliesstext175nb"/>
        <w:widowControl/>
        <w:rPr>
          <w:rFonts w:cs="Arial"/>
        </w:rPr>
      </w:pPr>
      <w:r>
        <w:t>Bei der Stufenzuordnung auf der Grundlage einer Ermessensentscheidung gem</w:t>
      </w:r>
      <w:r>
        <w:t>äß</w:t>
      </w:r>
      <w:r>
        <w:t xml:space="preserve"> den o.g. Bestimmungen hat der Ersatzschultr</w:t>
      </w:r>
      <w:r>
        <w:t>ä</w:t>
      </w:r>
      <w:r>
        <w:t xml:space="preserve">ger vor dem Hintergrund des Ausgabenbegrenzungsgebots </w:t>
      </w:r>
      <w:hyperlink w:anchor="https://bass.schul-welt.de/6043.htm#1-1p105(1)sa3" w:history="1">
        <w:r>
          <w:t xml:space="preserve">(§ 105 Absatz 1 Satz 3 </w:t>
        </w:r>
      </w:hyperlink>
      <w:r>
        <w:rPr>
          <w:rFonts w:cs="Arial"/>
        </w:rPr>
        <w:t>SchulG)</w:t>
      </w:r>
      <w:r>
        <w:t xml:space="preserve"> im Vorfeld eine Refinanzierungszusage der zust</w:t>
      </w:r>
      <w:r>
        <w:t>ä</w:t>
      </w:r>
      <w:r>
        <w:t>ndigen oberen Schulaufsichtsbeh</w:t>
      </w:r>
      <w:r>
        <w:t>ö</w:t>
      </w:r>
      <w:r>
        <w:t>rde einzuholen. Die nach dem Ausgabenbegrenzungsgebot ma</w:t>
      </w:r>
      <w:r>
        <w:t>ß</w:t>
      </w:r>
      <w:r>
        <w:t>gebliche Obergrenze der refinanzierungsf</w:t>
      </w:r>
      <w:r>
        <w:t>ä</w:t>
      </w:r>
      <w:r>
        <w:t>higen Aufwendungen wird durch die Refinanzierungszusage definiert.</w:t>
      </w:r>
    </w:p>
    <w:p w14:paraId="179DA9C7" w14:textId="77777777" w:rsidR="00DE3207" w:rsidRDefault="00DE3207">
      <w:pPr>
        <w:pStyle w:val="RVfliesstext175nb"/>
        <w:widowControl/>
      </w:pPr>
      <w:r>
        <w:t xml:space="preserve">2.2 Hinsichtlich der Refinanzierung darf die sich aus den </w:t>
      </w:r>
      <w:hyperlink w:anchor="https://bass.schul-welt.de/6043.htm#1-1p105(1)sa3" w:history="1">
        <w:r>
          <w:t xml:space="preserve">§§ 105 Absatz 1 </w:t>
        </w:r>
      </w:hyperlink>
      <w:hyperlink w:anchor="https://bass.schul-welt.de/6043.htm#1-1p106(2)nr1" w:history="1">
        <w:r>
          <w:t xml:space="preserve">Satz 3, 106 Absatz 2 Nummer 1, 107 </w:t>
        </w:r>
      </w:hyperlink>
      <w:hyperlink w:anchor="https://bass.schul-welt.de/6043.htm#1-1p107(1)-(3)" w:history="1">
        <w:r>
          <w:t>Absatz 1 und 2 SchulG</w:t>
        </w:r>
      </w:hyperlink>
      <w:r>
        <w:rPr>
          <w:rFonts w:cs="Arial"/>
        </w:rPr>
        <w:t xml:space="preserve"> ergebende Obergrenze nicht </w:t>
      </w:r>
      <w:r>
        <w:rPr>
          <w:rFonts w:cs="Arial"/>
        </w:rPr>
        <w:t>ü</w:t>
      </w:r>
      <w:r>
        <w:rPr>
          <w:rFonts w:cs="Arial"/>
        </w:rPr>
        <w:t>berschritten werden.</w:t>
      </w:r>
    </w:p>
    <w:p w14:paraId="1686F88F" w14:textId="77777777" w:rsidR="00DE3207" w:rsidRDefault="00DE3207">
      <w:pPr>
        <w:pStyle w:val="RVfliesstext175nb"/>
        <w:widowControl/>
      </w:pPr>
      <w:r>
        <w:rPr>
          <w:rFonts w:cs="Arial"/>
        </w:rPr>
        <w:t>2.3 Bei der Verg</w:t>
      </w:r>
      <w:r>
        <w:rPr>
          <w:rFonts w:cs="Arial"/>
        </w:rPr>
        <w:t>ü</w:t>
      </w:r>
      <w:r>
        <w:rPr>
          <w:rFonts w:cs="Arial"/>
        </w:rPr>
        <w:t>tung nach Haustarifen d</w:t>
      </w:r>
      <w:r>
        <w:rPr>
          <w:rFonts w:cs="Arial"/>
        </w:rPr>
        <w:t>ü</w:t>
      </w:r>
      <w:r>
        <w:rPr>
          <w:rFonts w:cs="Arial"/>
        </w:rPr>
        <w:t>rfen Planstelleninhabervertr</w:t>
      </w:r>
      <w:r>
        <w:rPr>
          <w:rFonts w:cs="Arial"/>
        </w:rPr>
        <w:t>ä</w:t>
      </w:r>
      <w:r>
        <w:rPr>
          <w:rFonts w:cs="Arial"/>
        </w:rPr>
        <w:t>ge nicht einbezogen werden, soweit sie in Einzelf</w:t>
      </w:r>
      <w:r>
        <w:rPr>
          <w:rFonts w:cs="Arial"/>
        </w:rPr>
        <w:t>ä</w:t>
      </w:r>
      <w:r>
        <w:rPr>
          <w:rFonts w:cs="Arial"/>
        </w:rPr>
        <w:t>llen nicht schon bisher einbezogen worden sind.</w:t>
      </w:r>
    </w:p>
    <w:p w14:paraId="52FA4171" w14:textId="77777777" w:rsidR="00DE3207" w:rsidRDefault="00DE3207">
      <w:pPr>
        <w:pStyle w:val="RVfliesstext175nb"/>
        <w:widowControl/>
        <w:rPr>
          <w:rFonts w:cs="Arial"/>
        </w:rPr>
      </w:pPr>
      <w:r>
        <w:rPr>
          <w:rFonts w:cs="Arial"/>
        </w:rPr>
        <w:t>2.4 In die Berechnung und Bezuschussung einbezogen werden nur die Lehrerinnen und Lehrer, die zur Deckung des Unterrichtsbedarfs gem</w:t>
      </w:r>
      <w:r>
        <w:rPr>
          <w:rFonts w:cs="Arial"/>
        </w:rPr>
        <w:t>äß</w:t>
      </w:r>
      <w:hyperlink w:anchor="https://bass.schul-welt.de/6043.htm#1-1p107(1)-(3)" w:history="1">
        <w:r>
          <w:rPr>
            <w:rFonts w:cs="Arial"/>
          </w:rPr>
          <w:t xml:space="preserve"> § </w:t>
        </w:r>
      </w:hyperlink>
      <w:r>
        <w:t>107 Absatz 1 SchulG</w:t>
      </w:r>
      <w:r>
        <w:rPr>
          <w:rFonts w:cs="Arial"/>
        </w:rPr>
        <w:t xml:space="preserve"> und den Verwaltungsvorschriften hierzu (FESchVO/VVzFESchVO - </w:t>
      </w:r>
      <w:hyperlink w:anchor="https://bass.schul-welt.de/6172.htm#11-03nr7.1" w:history="1">
        <w:r>
          <w:rPr>
            <w:rFonts w:cs="Arial"/>
          </w:rPr>
          <w:t>BASS 11-03 Nr. 7.1/Nr. 7.2)</w:t>
        </w:r>
      </w:hyperlink>
      <w:r>
        <w:t xml:space="preserve"> erforderlich sind.</w:t>
      </w:r>
    </w:p>
    <w:p w14:paraId="65AD6E6E" w14:textId="77777777" w:rsidR="00DE3207" w:rsidRDefault="00DE3207">
      <w:pPr>
        <w:pStyle w:val="RVueberschrift285fz"/>
        <w:keepNext/>
        <w:keepLines/>
        <w:rPr>
          <w:rFonts w:cs="Arial"/>
        </w:rPr>
      </w:pPr>
      <w:r>
        <w:t>3 Eingruppierung von Lehrkr</w:t>
      </w:r>
      <w:r>
        <w:t>ä</w:t>
      </w:r>
      <w:r>
        <w:t>ften an Waldorfschulen</w:t>
      </w:r>
    </w:p>
    <w:p w14:paraId="49725EC2" w14:textId="77777777" w:rsidR="00DE3207" w:rsidRDefault="00DE3207">
      <w:pPr>
        <w:pStyle w:val="RVfliesstext175nb"/>
        <w:widowControl/>
        <w:rPr>
          <w:rFonts w:cs="Arial"/>
        </w:rPr>
      </w:pPr>
      <w:r>
        <w:t>Die Personalkosten f</w:t>
      </w:r>
      <w:r>
        <w:t>ü</w:t>
      </w:r>
      <w:r>
        <w:t>r Klassenlehrerinnen und Klassenlehrer an Waldorfschulen mit entsprechend erworbener Qualifikation an einer Einrichtung des Bundes der Freien Waldorfschulen werden mindestens auf der Grund</w:t>
      </w:r>
      <w:hyperlink r:id="rId10" w:history="1">
        <w:r>
          <w:t>lage der Entgeltgruppe 10 TV-L</w:t>
        </w:r>
      </w:hyperlink>
      <w:r>
        <w:rPr>
          <w:rFonts w:cs="Arial"/>
        </w:rPr>
        <w:t xml:space="preserve"> bezuschusst. Die als Grundlage dienende Eingruppierung dieser Lehrkr</w:t>
      </w:r>
      <w:r>
        <w:rPr>
          <w:rFonts w:cs="Arial"/>
        </w:rPr>
        <w:t>ä</w:t>
      </w:r>
      <w:r>
        <w:rPr>
          <w:rFonts w:cs="Arial"/>
        </w:rPr>
        <w:t xml:space="preserve">fte erfolgt somit ggf. </w:t>
      </w:r>
      <w:r>
        <w:rPr>
          <w:rFonts w:cs="Arial"/>
        </w:rPr>
        <w:t>ü</w:t>
      </w:r>
      <w:r>
        <w:rPr>
          <w:rFonts w:cs="Arial"/>
        </w:rPr>
        <w:t>bertariflich nach Ab</w:t>
      </w:r>
      <w:hyperlink r:id="rId11" w:history="1">
        <w:r>
          <w:rPr>
            <w:rFonts w:cs="Arial"/>
          </w:rPr>
          <w:t>schnitt 2 Nummer 3 der Anlage zum TVEntgO-L</w:t>
        </w:r>
      </w:hyperlink>
      <w:r>
        <w:t>.</w:t>
      </w:r>
    </w:p>
    <w:p w14:paraId="43AA086D" w14:textId="77777777" w:rsidR="00DE3207" w:rsidRDefault="00DE3207">
      <w:pPr>
        <w:pStyle w:val="RVfliesstext175nb"/>
        <w:widowControl/>
      </w:pPr>
      <w:r>
        <w:t>F</w:t>
      </w:r>
      <w:r>
        <w:t>ü</w:t>
      </w:r>
      <w:r>
        <w:t>r den Fall, dass die Lehrkr</w:t>
      </w:r>
      <w:r>
        <w:t>ä</w:t>
      </w:r>
      <w:r>
        <w:t>fte neben dieser Qualifikation Ausbildungs</w:t>
      </w:r>
      <w:hyperlink r:id="rId12" w:history="1">
        <w:r>
          <w:t>kriterien erfüllen, die nach dem TVEntgO-L</w:t>
        </w:r>
      </w:hyperlink>
      <w:r>
        <w:rPr>
          <w:rFonts w:cs="Arial"/>
        </w:rPr>
        <w:t xml:space="preserve"> zu einer h</w:t>
      </w:r>
      <w:r>
        <w:rPr>
          <w:rFonts w:cs="Arial"/>
        </w:rPr>
        <w:t>ö</w:t>
      </w:r>
      <w:r>
        <w:rPr>
          <w:rFonts w:cs="Arial"/>
        </w:rPr>
        <w:t>heren Entgeltgruppe f</w:t>
      </w:r>
      <w:r>
        <w:rPr>
          <w:rFonts w:cs="Arial"/>
        </w:rPr>
        <w:t>ü</w:t>
      </w:r>
      <w:r>
        <w:rPr>
          <w:rFonts w:cs="Arial"/>
        </w:rPr>
        <w:t>hren (z.B. abgeschlossenes wissenschaftliches Hochschulstudium - Master -), erfolgt die Bezuschussung der Personalkosten auf der Grundlage der h</w:t>
      </w:r>
      <w:r>
        <w:rPr>
          <w:rFonts w:cs="Arial"/>
        </w:rPr>
        <w:t>ö</w:t>
      </w:r>
      <w:r>
        <w:rPr>
          <w:rFonts w:cs="Arial"/>
        </w:rPr>
        <w:t>heren Entgeltgruppe.</w:t>
      </w:r>
    </w:p>
    <w:p w14:paraId="6D12102B" w14:textId="77777777" w:rsidR="00DE3207" w:rsidRDefault="00DE3207">
      <w:pPr>
        <w:pStyle w:val="RVfliesstext175nb"/>
        <w:widowControl/>
        <w:rPr>
          <w:rFonts w:cs="Arial"/>
        </w:rPr>
      </w:pPr>
      <w:r>
        <w:rPr>
          <w:rFonts w:cs="Arial"/>
        </w:rPr>
        <w:t>Dieser Runderlass tritt am 1</w:t>
      </w:r>
      <w:r>
        <w:t>.</w:t>
      </w:r>
      <w:r>
        <w:rPr>
          <w:rFonts w:cs="Arial"/>
        </w:rPr>
        <w:t xml:space="preserve"> August 1994 in Kraft</w:t>
      </w:r>
      <w:r>
        <w:t>.</w:t>
      </w:r>
      <w:r>
        <w:rPr>
          <w:rStyle w:val="FootnoteReference"/>
          <w:rFonts w:ascii="Arial" w:hAnsi="Arial" w:cs="Arial"/>
        </w:rPr>
        <w:footnoteReference w:id="2"/>
      </w:r>
    </w:p>
    <w:p w14:paraId="690321E7" w14:textId="77777777" w:rsidR="00DE3207" w:rsidRDefault="00DE3207">
      <w:pPr>
        <w:pStyle w:val="RVfliesstext175nb"/>
        <w:widowControl/>
      </w:pPr>
    </w:p>
    <w:sectPr w:rsidR="00000000">
      <w:footerReference w:type="even" r:id="rId13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3D0D9" w14:textId="77777777" w:rsidR="00DE3207" w:rsidRDefault="00DE3207">
      <w:pPr>
        <w:widowControl/>
      </w:pPr>
      <w:r>
        <w:rPr>
          <w:rFonts w:cs="Calibri"/>
        </w:rPr>
        <w:separator/>
      </w:r>
    </w:p>
  </w:endnote>
  <w:endnote w:type="continuationSeparator" w:id="0">
    <w:p w14:paraId="6F16508A" w14:textId="77777777" w:rsidR="00DE3207" w:rsidRDefault="00DE3207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B038B" w14:textId="77777777" w:rsidR="00DE3207" w:rsidRDefault="00DE3207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FACFD" w14:textId="77777777" w:rsidR="00DE3207" w:rsidRDefault="00DE3207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2FEDE0C" w14:textId="77777777" w:rsidR="00DE3207" w:rsidRDefault="00DE3207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60119AE4" w14:textId="77777777" w:rsidR="00DE3207" w:rsidRDefault="00DE3207">
      <w:pPr>
        <w:pStyle w:val="RVFudfnote160nb"/>
        <w:widowControl/>
        <w:tabs>
          <w:tab w:val="clear" w:pos="720"/>
        </w:tabs>
        <w:rPr>
          <w:rFonts w:cs="Calibri"/>
        </w:rPr>
      </w:pPr>
      <w:r>
        <w:rPr>
          <w:rStyle w:val="FootnoteCharacters"/>
          <w:rFonts w:ascii="Arial" w:hAnsi="Arial" w:cs="Arial"/>
          <w:sz w:val="12"/>
        </w:rPr>
        <w:footnoteRef/>
      </w:r>
      <w:r>
        <w:rPr>
          <w:rFonts w:cs="Calibri"/>
        </w:rPr>
        <w:tab/>
      </w:r>
      <w:r>
        <w:rPr>
          <w:rFonts w:cs="Calibri"/>
        </w:rPr>
        <w:t>Bereinigt</w:t>
      </w:r>
      <w:r>
        <w:t>.</w:t>
      </w:r>
      <w:r>
        <w:rPr>
          <w:rFonts w:cs="Calibri"/>
        </w:rPr>
        <w:t xml:space="preserve"> Eingearbeitet</w:t>
      </w:r>
      <w:r>
        <w:t>:</w:t>
      </w:r>
      <w:r>
        <w:rPr>
          <w:rFonts w:cs="Calibri"/>
        </w:rPr>
        <w:t xml:space="preserve"> </w:t>
      </w:r>
      <w:r>
        <w:rPr>
          <w:rFonts w:cs="Calibri"/>
        </w:rPr>
        <w:br/>
        <w:t>RdErl</w:t>
      </w:r>
      <w:r>
        <w:t>.</w:t>
      </w:r>
      <w:r>
        <w:rPr>
          <w:rFonts w:cs="Calibri"/>
        </w:rPr>
        <w:t xml:space="preserve"> v</w:t>
      </w:r>
      <w:r>
        <w:t>.</w:t>
      </w:r>
      <w:r>
        <w:rPr>
          <w:rFonts w:cs="Calibri"/>
        </w:rPr>
        <w:t xml:space="preserve"> 24</w:t>
      </w:r>
      <w:r>
        <w:t>.</w:t>
      </w:r>
      <w:r>
        <w:rPr>
          <w:rFonts w:cs="Calibri"/>
        </w:rPr>
        <w:t>10</w:t>
      </w:r>
      <w:r>
        <w:t>.</w:t>
      </w:r>
      <w:r>
        <w:rPr>
          <w:rFonts w:cs="Calibri"/>
        </w:rPr>
        <w:t xml:space="preserve">2018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11</w:t>
      </w:r>
      <w:r>
        <w:t>/</w:t>
      </w:r>
      <w:r>
        <w:rPr>
          <w:rFonts w:cs="Calibri"/>
        </w:rPr>
        <w:t>18 S</w:t>
      </w:r>
      <w:r>
        <w:t>.</w:t>
      </w:r>
      <w:r>
        <w:rPr>
          <w:rFonts w:cs="Calibri"/>
        </w:rPr>
        <w:t xml:space="preserve"> 39</w:t>
      </w:r>
      <w:r>
        <w:t>)</w:t>
      </w:r>
    </w:p>
  </w:footnote>
  <w:footnote w:id="2">
    <w:p w14:paraId="1E701384" w14:textId="77777777" w:rsidR="00DE3207" w:rsidRDefault="00DE3207">
      <w:pPr>
        <w:pStyle w:val="RVFudfnote160kb"/>
        <w:tabs>
          <w:tab w:val="clear" w:pos="720"/>
        </w:tabs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</w:r>
      <w:r>
        <w:t>Der Erlass ist in der vorliegenden Fassung seit 16</w:t>
      </w:r>
      <w:r>
        <w:rPr>
          <w:rFonts w:cs="Arial"/>
        </w:rPr>
        <w:t>.</w:t>
      </w:r>
      <w:r>
        <w:t>11</w:t>
      </w:r>
      <w:r>
        <w:rPr>
          <w:rFonts w:cs="Arial"/>
        </w:rPr>
        <w:t>.</w:t>
      </w:r>
      <w:r>
        <w:t>2018 in Kraft</w:t>
      </w:r>
      <w:r>
        <w:rPr>
          <w:rFonts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95C31"/>
    <w:rsid w:val="00A339FA"/>
    <w:rsid w:val="00D95C31"/>
    <w:rsid w:val="00DE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C84302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text_anzeigen?v_id=592010011410193719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5920100114101937199" TargetMode="External"/><Relationship Id="rId12" Type="http://schemas.openxmlformats.org/officeDocument/2006/relationships/hyperlink" Target="http://www.tdl-online.de/tarifvertraeg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dl-online.de/tarifvertraege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echt.nrw.de/lmi/owa/br_text_anzeigen?v_id=59201001141019371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dl-online.de/tarifvertraeg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753</Words>
  <Characters>4744</Characters>
  <Application>Microsoft Office Word</Application>
  <DocSecurity>0</DocSecurity>
  <Lines>39</Lines>
  <Paragraphs>10</Paragraphs>
  <ScaleCrop>false</ScaleCrop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2024-09-10T02:09:00Z</dcterms:created>
  <dcterms:modified xsi:type="dcterms:W3CDTF">2024-09-10T02:09:00Z</dcterms:modified>
</cp:coreProperties>
</file>