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1CC2" w14:textId="77777777" w:rsidR="003749D4" w:rsidRDefault="003749D4">
      <w:pPr>
        <w:pStyle w:val="Bass-Nr"/>
        <w:keepNext/>
        <w:rPr>
          <w:rFonts w:cs="Calibri"/>
        </w:rPr>
      </w:pPr>
      <w:r>
        <w:t>21-13 Nr. 2</w:t>
      </w:r>
    </w:p>
    <w:p w14:paraId="52F1304B" w14:textId="77777777" w:rsidR="003749D4" w:rsidRDefault="003749D4">
      <w:pPr>
        <w:pStyle w:val="RVueberschrift1100fz"/>
        <w:keepNext/>
        <w:keepLines/>
        <w:rPr>
          <w:rFonts w:cs="Calibri"/>
        </w:rPr>
      </w:pPr>
      <w:r>
        <w:t xml:space="preserve">Recht </w:t>
      </w:r>
      <w:r>
        <w:br/>
        <w:t xml:space="preserve">in der gymnasialen Oberstufe; </w:t>
      </w:r>
      <w:r>
        <w:br/>
        <w:t>Einsatz von Richtern und Staatsanw</w:t>
      </w:r>
      <w:r>
        <w:t>ä</w:t>
      </w:r>
      <w:r>
        <w:t>lten</w:t>
      </w:r>
    </w:p>
    <w:p w14:paraId="09D683CB" w14:textId="77777777" w:rsidR="003749D4" w:rsidRDefault="003749D4">
      <w:pPr>
        <w:pStyle w:val="RVueberschrift285nz"/>
        <w:keepNext/>
        <w:keepLines/>
      </w:pPr>
      <w:r>
        <w:t>Gem</w:t>
      </w:r>
      <w:r>
        <w:rPr>
          <w:rFonts w:cs="Calibri"/>
        </w:rPr>
        <w:t>.</w:t>
      </w:r>
      <w:r>
        <w:t xml:space="preserve"> 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u</w:t>
      </w:r>
      <w:r>
        <w:rPr>
          <w:rFonts w:cs="Calibri"/>
        </w:rPr>
        <w:t>.</w:t>
      </w:r>
      <w:r>
        <w:t>d</w:t>
      </w:r>
      <w:r>
        <w:rPr>
          <w:rFonts w:cs="Calibri"/>
        </w:rPr>
        <w:t>.</w:t>
      </w:r>
      <w:r>
        <w:t xml:space="preserve"> Justizministeriums </w:t>
      </w:r>
      <w:r>
        <w:br/>
        <w:t>v</w:t>
      </w:r>
      <w:r>
        <w:rPr>
          <w:rFonts w:cs="Calibri"/>
        </w:rPr>
        <w:t>.</w:t>
      </w:r>
      <w:r>
        <w:t xml:space="preserve"> 25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1983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177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058AAE5C" w14:textId="77777777" w:rsidR="003749D4" w:rsidRDefault="003749D4">
      <w:pPr>
        <w:pStyle w:val="RVfliesstext175fl"/>
        <w:rPr>
          <w:rFonts w:cs="Arial"/>
        </w:rPr>
      </w:pPr>
      <w:r>
        <w:t>Bezug:</w:t>
      </w:r>
    </w:p>
    <w:p w14:paraId="344FA7F6" w14:textId="77777777" w:rsidR="003749D4" w:rsidRDefault="003749D4">
      <w:pPr>
        <w:pStyle w:val="RVfliesstext175nb"/>
        <w:widowControl/>
      </w:pPr>
      <w:r>
        <w:t xml:space="preserve">Verordnung </w:t>
      </w:r>
      <w:r>
        <w:t>ü</w:t>
      </w:r>
      <w:r>
        <w:t>ber den Bildungsgang und die Abiturpr</w:t>
      </w:r>
      <w:r>
        <w:t>ü</w:t>
      </w:r>
      <w:r>
        <w:t>fung in der gymnasialen Oberstufe (</w:t>
      </w:r>
      <w:hyperlink w:anchor="https://bass.schul-welt.de/9607.htm#13-32nr3.1" w:history="1">
        <w:r>
          <w:t>BASS 13-32 Nr. 3.1</w:t>
        </w:r>
      </w:hyperlink>
      <w:r>
        <w:rPr>
          <w:rFonts w:cs="Arial"/>
        </w:rPr>
        <w:t>)</w:t>
      </w:r>
    </w:p>
    <w:p w14:paraId="6EEB461B" w14:textId="77777777" w:rsidR="003749D4" w:rsidRDefault="003749D4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den Einsatz von Richtern und Staatsanw</w:t>
      </w:r>
      <w:r>
        <w:rPr>
          <w:rFonts w:cs="Arial"/>
        </w:rPr>
        <w:t>ä</w:t>
      </w:r>
      <w:r>
        <w:rPr>
          <w:rFonts w:cs="Arial"/>
        </w:rPr>
        <w:t>lten im Fach Recht in der gymnasialen Oberstufe gelten folgende Regelungen:</w:t>
      </w:r>
    </w:p>
    <w:p w14:paraId="52ED6D6C" w14:textId="77777777" w:rsidR="003749D4" w:rsidRDefault="003749D4">
      <w:pPr>
        <w:pStyle w:val="RVfliesstext175nb"/>
        <w:widowControl/>
      </w:pPr>
      <w:r>
        <w:rPr>
          <w:rFonts w:cs="Arial"/>
        </w:rPr>
        <w:t>1. Stehen keine voll ausgebildeten Lehrkr</w:t>
      </w:r>
      <w:r>
        <w:rPr>
          <w:rFonts w:cs="Arial"/>
        </w:rPr>
        <w:t>ä</w:t>
      </w:r>
      <w:r>
        <w:rPr>
          <w:rFonts w:cs="Arial"/>
        </w:rPr>
        <w:t>fte im Fach Recht zur Verf</w:t>
      </w:r>
      <w:r>
        <w:rPr>
          <w:rFonts w:cs="Arial"/>
        </w:rPr>
        <w:t>ü</w:t>
      </w:r>
      <w:r>
        <w:rPr>
          <w:rFonts w:cs="Arial"/>
        </w:rPr>
        <w:t>gung, k</w:t>
      </w:r>
      <w:r>
        <w:rPr>
          <w:rFonts w:cs="Arial"/>
        </w:rPr>
        <w:t>ö</w:t>
      </w:r>
      <w:r>
        <w:rPr>
          <w:rFonts w:cs="Arial"/>
        </w:rPr>
        <w:t>nnen Richter und Staatsanw</w:t>
      </w:r>
      <w:r>
        <w:rPr>
          <w:rFonts w:cs="Arial"/>
        </w:rPr>
        <w:t>ä</w:t>
      </w:r>
      <w:r>
        <w:rPr>
          <w:rFonts w:cs="Arial"/>
        </w:rPr>
        <w:t>lte als Lehrkr</w:t>
      </w:r>
      <w:r>
        <w:rPr>
          <w:rFonts w:cs="Arial"/>
        </w:rPr>
        <w:t>ä</w:t>
      </w:r>
      <w:r>
        <w:rPr>
          <w:rFonts w:cs="Arial"/>
        </w:rPr>
        <w:t>fte eingesetzt werden.</w:t>
      </w:r>
    </w:p>
    <w:p w14:paraId="798BAC8F" w14:textId="77777777" w:rsidR="003749D4" w:rsidRDefault="003749D4">
      <w:pPr>
        <w:pStyle w:val="RVfliesstext175nb"/>
        <w:widowControl/>
      </w:pPr>
      <w:r>
        <w:rPr>
          <w:rFonts w:cs="Arial"/>
        </w:rPr>
        <w:t>2. Richter und Staatsanw</w:t>
      </w:r>
      <w:r>
        <w:rPr>
          <w:rFonts w:cs="Arial"/>
        </w:rPr>
        <w:t>ä</w:t>
      </w:r>
      <w:r>
        <w:rPr>
          <w:rFonts w:cs="Arial"/>
        </w:rPr>
        <w:t>lte werden in der Regel dann eingesetzt, wenn Recht nicht als 3. oder 4. Abiturfach gef</w:t>
      </w:r>
      <w:r>
        <w:rPr>
          <w:rFonts w:cs="Arial"/>
        </w:rPr>
        <w:t>ü</w:t>
      </w:r>
      <w:r>
        <w:rPr>
          <w:rFonts w:cs="Arial"/>
        </w:rPr>
        <w:t>hrt wird. Die Unterrichtserlaubnis wird durch die f</w:t>
      </w:r>
      <w:r>
        <w:rPr>
          <w:rFonts w:cs="Arial"/>
        </w:rPr>
        <w:t>ü</w:t>
      </w:r>
      <w:r>
        <w:rPr>
          <w:rFonts w:cs="Arial"/>
        </w:rPr>
        <w:t>r die Gymnasien zust</w:t>
      </w:r>
      <w:r>
        <w:rPr>
          <w:rFonts w:cs="Arial"/>
        </w:rPr>
        <w:t>ä</w:t>
      </w:r>
      <w:r>
        <w:rPr>
          <w:rFonts w:cs="Arial"/>
        </w:rPr>
        <w:t>ndige obere Schulaufsichtsbeh</w:t>
      </w:r>
      <w:r>
        <w:rPr>
          <w:rFonts w:cs="Arial"/>
        </w:rPr>
        <w:t>ö</w:t>
      </w:r>
      <w:r>
        <w:rPr>
          <w:rFonts w:cs="Arial"/>
        </w:rPr>
        <w:t>rde zun</w:t>
      </w:r>
      <w:r>
        <w:rPr>
          <w:rFonts w:cs="Arial"/>
        </w:rPr>
        <w:t>ä</w:t>
      </w:r>
      <w:r>
        <w:rPr>
          <w:rFonts w:cs="Arial"/>
        </w:rPr>
        <w:t>chst f</w:t>
      </w:r>
      <w:r>
        <w:rPr>
          <w:rFonts w:cs="Arial"/>
        </w:rPr>
        <w:t>ü</w:t>
      </w:r>
      <w:r>
        <w:rPr>
          <w:rFonts w:cs="Arial"/>
        </w:rPr>
        <w:t>r den Unterricht in der Jahrgangsstufe 11/I erteilt. Sie kann bis einschlie</w:t>
      </w:r>
      <w:r>
        <w:rPr>
          <w:rFonts w:cs="Arial"/>
        </w:rPr>
        <w:t>ß</w:t>
      </w:r>
      <w:r>
        <w:rPr>
          <w:rFonts w:cs="Arial"/>
        </w:rPr>
        <w:t>lich der Jahrgangsstufe 13/II erweitert werden.</w:t>
      </w:r>
    </w:p>
    <w:p w14:paraId="7E67F277" w14:textId="77777777" w:rsidR="003749D4" w:rsidRDefault="003749D4">
      <w:pPr>
        <w:pStyle w:val="RVfliesstext175nb"/>
        <w:widowControl/>
      </w:pPr>
      <w:r>
        <w:rPr>
          <w:rFonts w:cs="Arial"/>
        </w:rPr>
        <w:t>3. Die Leiter der Schulen, die Lehrkr</w:t>
      </w:r>
      <w:r>
        <w:rPr>
          <w:rFonts w:cs="Arial"/>
        </w:rPr>
        <w:t>ä</w:t>
      </w:r>
      <w:r>
        <w:rPr>
          <w:rFonts w:cs="Arial"/>
        </w:rPr>
        <w:t>fte f</w:t>
      </w:r>
      <w:r>
        <w:rPr>
          <w:rFonts w:cs="Arial"/>
        </w:rPr>
        <w:t>ü</w:t>
      </w:r>
      <w:r>
        <w:rPr>
          <w:rFonts w:cs="Arial"/>
        </w:rPr>
        <w:t>r den Unterricht im Fach Recht ben</w:t>
      </w:r>
      <w:r>
        <w:rPr>
          <w:rFonts w:cs="Arial"/>
        </w:rPr>
        <w:t>ö</w:t>
      </w:r>
      <w:r>
        <w:rPr>
          <w:rFonts w:cs="Arial"/>
        </w:rPr>
        <w:t xml:space="preserve">tigen, setzen sich mit dem </w:t>
      </w:r>
      <w:r>
        <w:rPr>
          <w:rFonts w:cs="Arial"/>
        </w:rPr>
        <w:t>ö</w:t>
      </w:r>
      <w:r>
        <w:rPr>
          <w:rFonts w:cs="Arial"/>
        </w:rPr>
        <w:t>rtlich zust</w:t>
      </w:r>
      <w:r>
        <w:rPr>
          <w:rFonts w:cs="Arial"/>
        </w:rPr>
        <w:t>ä</w:t>
      </w:r>
      <w:r>
        <w:rPr>
          <w:rFonts w:cs="Arial"/>
        </w:rPr>
        <w:t>ndigen Pr</w:t>
      </w:r>
      <w:r>
        <w:rPr>
          <w:rFonts w:cs="Arial"/>
        </w:rPr>
        <w:t>ä</w:t>
      </w:r>
      <w:r>
        <w:rPr>
          <w:rFonts w:cs="Arial"/>
        </w:rPr>
        <w:t>sidenten des Landgerichts zur Benennung von Lehrkr</w:t>
      </w:r>
      <w:r>
        <w:rPr>
          <w:rFonts w:cs="Arial"/>
        </w:rPr>
        <w:t>ä</w:t>
      </w:r>
      <w:r>
        <w:rPr>
          <w:rFonts w:cs="Arial"/>
        </w:rPr>
        <w:t>ften in Verbindung.</w:t>
      </w:r>
    </w:p>
    <w:p w14:paraId="74CDBDA2" w14:textId="77777777" w:rsidR="003749D4" w:rsidRDefault="003749D4">
      <w:pPr>
        <w:pStyle w:val="RVfliesstext175nb"/>
        <w:widowControl/>
        <w:rPr>
          <w:rFonts w:cs="Arial"/>
        </w:rPr>
      </w:pPr>
      <w:r>
        <w:rPr>
          <w:rFonts w:cs="Arial"/>
        </w:rPr>
        <w:t>4. Die Pr</w:t>
      </w:r>
      <w:r>
        <w:rPr>
          <w:rFonts w:cs="Arial"/>
        </w:rPr>
        <w:t>ä</w:t>
      </w:r>
      <w:r>
        <w:rPr>
          <w:rFonts w:cs="Arial"/>
        </w:rPr>
        <w:t>sidenten der Landgerichte stellen im Einvernehmen mit den Leitenden Oberstaatsanw</w:t>
      </w:r>
      <w:r>
        <w:rPr>
          <w:rFonts w:cs="Arial"/>
        </w:rPr>
        <w:t>ä</w:t>
      </w:r>
      <w:r>
        <w:rPr>
          <w:rFonts w:cs="Arial"/>
        </w:rPr>
        <w:t>lten und den Pr</w:t>
      </w:r>
      <w:r>
        <w:rPr>
          <w:rFonts w:cs="Arial"/>
        </w:rPr>
        <w:t>ä</w:t>
      </w:r>
      <w:r>
        <w:rPr>
          <w:rFonts w:cs="Arial"/>
        </w:rPr>
        <w:t>sidenten der Amtsgerichte fest, welche Richter und Staatsanw</w:t>
      </w:r>
      <w:r>
        <w:rPr>
          <w:rFonts w:cs="Arial"/>
        </w:rPr>
        <w:t>ä</w:t>
      </w:r>
      <w:r>
        <w:rPr>
          <w:rFonts w:cs="Arial"/>
        </w:rPr>
        <w:t>lte bereit sind, als Fachlehrer im Fach Recht in der gymnasialen Oberstufe t</w:t>
      </w:r>
      <w:r>
        <w:rPr>
          <w:rFonts w:cs="Arial"/>
        </w:rPr>
        <w:t>ä</w:t>
      </w:r>
      <w:r>
        <w:rPr>
          <w:rFonts w:cs="Arial"/>
        </w:rPr>
        <w:t>tig zu werden. Sie veranlassen die Einholung der erforderlichen Genehmigung f</w:t>
      </w:r>
      <w:r>
        <w:rPr>
          <w:rFonts w:cs="Arial"/>
        </w:rPr>
        <w:t>ü</w:t>
      </w:r>
      <w:r>
        <w:rPr>
          <w:rFonts w:cs="Arial"/>
        </w:rPr>
        <w:t>r die Nebent</w:t>
      </w:r>
      <w:r>
        <w:rPr>
          <w:rFonts w:cs="Arial"/>
        </w:rPr>
        <w:t>ä</w:t>
      </w:r>
      <w:r>
        <w:rPr>
          <w:rFonts w:cs="Arial"/>
        </w:rPr>
        <w:t xml:space="preserve">tigkeit (VO </w:t>
      </w:r>
      <w:r>
        <w:rPr>
          <w:rFonts w:cs="Arial"/>
        </w:rPr>
        <w:t>ü</w:t>
      </w:r>
      <w:r>
        <w:rPr>
          <w:rFonts w:cs="Arial"/>
        </w:rPr>
        <w:t>ber richter- und beamtenrechtliche Zust</w:t>
      </w:r>
      <w:r>
        <w:rPr>
          <w:rFonts w:cs="Arial"/>
        </w:rPr>
        <w:t>ä</w:t>
      </w:r>
      <w:r>
        <w:rPr>
          <w:rFonts w:cs="Arial"/>
        </w:rPr>
        <w:t>ndigkeiten im Gesch</w:t>
      </w:r>
      <w:r>
        <w:rPr>
          <w:rFonts w:cs="Arial"/>
        </w:rPr>
        <w:t>ä</w:t>
      </w:r>
      <w:r>
        <w:rPr>
          <w:rFonts w:cs="Arial"/>
        </w:rPr>
        <w:t xml:space="preserve">ftsbereich des </w:t>
      </w:r>
      <w:hyperlink r:id="rId7" w:history="1">
        <w:r>
          <w:rPr>
            <w:rFonts w:cs="Arial"/>
          </w:rPr>
          <w:t xml:space="preserve">Justizministeriums </w:t>
        </w:r>
      </w:hyperlink>
      <w:r>
        <w:t>vom 19. November 1982 - SGV. NRW. 2030) und regeln zusammen mit den Leitern der Schulen die Aufteilung der Lehrkr</w:t>
      </w:r>
      <w:r>
        <w:t>ä</w:t>
      </w:r>
      <w:r>
        <w:t>fte auf die Schulen.</w:t>
      </w:r>
    </w:p>
    <w:p w14:paraId="13F0DA2E" w14:textId="77777777" w:rsidR="003749D4" w:rsidRDefault="003749D4">
      <w:pPr>
        <w:pStyle w:val="RVfliesstext175nb"/>
        <w:widowControl/>
        <w:rPr>
          <w:rFonts w:cs="Arial"/>
        </w:rPr>
      </w:pPr>
      <w:r>
        <w:t>5. Diejenigen interessierten Richter und Staatsanw</w:t>
      </w:r>
      <w:r>
        <w:t>ä</w:t>
      </w:r>
      <w:r>
        <w:t>lte, die keiner Schule zugewiesen werden konnten, werden von den Pr</w:t>
      </w:r>
      <w:r>
        <w:t>ä</w:t>
      </w:r>
      <w:r>
        <w:t>sidenten der Landgerichte der f</w:t>
      </w:r>
      <w:r>
        <w:t>ü</w:t>
      </w:r>
      <w:r>
        <w:t>r die Gymnasien zust</w:t>
      </w:r>
      <w:r>
        <w:t>ä</w:t>
      </w:r>
      <w:r>
        <w:t>ndigen oberen Schulaufsichtsbeh</w:t>
      </w:r>
      <w:r>
        <w:t>ö</w:t>
      </w:r>
      <w:r>
        <w:t>rde benannt.</w:t>
      </w:r>
    </w:p>
    <w:p w14:paraId="19EEC099" w14:textId="77777777" w:rsidR="003749D4" w:rsidRDefault="003749D4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80370" w14:textId="77777777" w:rsidR="003749D4" w:rsidRDefault="003749D4">
      <w:pPr>
        <w:widowControl/>
      </w:pPr>
      <w:r>
        <w:rPr>
          <w:rFonts w:cs="Calibri"/>
        </w:rPr>
        <w:separator/>
      </w:r>
    </w:p>
  </w:endnote>
  <w:endnote w:type="continuationSeparator" w:id="0">
    <w:p w14:paraId="5ABA336F" w14:textId="77777777" w:rsidR="003749D4" w:rsidRDefault="003749D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7FAF" w14:textId="77777777" w:rsidR="003749D4" w:rsidRDefault="003749D4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CA8F" w14:textId="77777777" w:rsidR="003749D4" w:rsidRDefault="003749D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D37E086" w14:textId="77777777" w:rsidR="003749D4" w:rsidRDefault="003749D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0644AB11" w14:textId="77777777" w:rsidR="003749D4" w:rsidRDefault="003749D4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58DF"/>
    <w:rsid w:val="003749D4"/>
    <w:rsid w:val="00A058DF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B4AC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420100108100536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2024-09-10T02:08:00Z</dcterms:created>
  <dcterms:modified xsi:type="dcterms:W3CDTF">2024-09-10T02:08:00Z</dcterms:modified>
</cp:coreProperties>
</file>