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D65C" w14:textId="77777777" w:rsidR="00E13639" w:rsidRDefault="00E13639">
      <w:pPr>
        <w:pStyle w:val="Bass-Nr"/>
      </w:pPr>
      <w:r>
        <w:t>21-08 Nr. 2.1</w:t>
      </w:r>
    </w:p>
    <w:p w14:paraId="5FA56FCC" w14:textId="77777777" w:rsidR="00E13639" w:rsidRDefault="00E13639">
      <w:pPr>
        <w:pStyle w:val="RVueberschrift1100fz"/>
      </w:pPr>
      <w:r>
        <w:t>Die ausl</w:t>
      </w:r>
      <w:r>
        <w:t>ä</w:t>
      </w:r>
      <w:r>
        <w:t xml:space="preserve">ndischen </w:t>
      </w:r>
      <w:r>
        <w:br/>
        <w:t xml:space="preserve">Fremdsprachenassistenten und -assistentinnen </w:t>
      </w:r>
      <w:r>
        <w:br/>
        <w:t>- Rechte und Pflichten -</w:t>
      </w:r>
    </w:p>
    <w:p w14:paraId="68BEBFEC" w14:textId="77777777" w:rsidR="00E13639" w:rsidRDefault="00E13639">
      <w:pPr>
        <w:pStyle w:val="RVueberschrift285nz"/>
      </w:pPr>
      <w:r>
        <w:t xml:space="preserve">RdErl. d. Kultusministeriums </w:t>
      </w:r>
      <w:r>
        <w:br/>
        <w:t>v. 03.09.1976 (GABl. NW. S. 490)</w:t>
      </w:r>
    </w:p>
    <w:p w14:paraId="78D5A044" w14:textId="77777777" w:rsidR="00E13639" w:rsidRDefault="00E13639">
      <w:pPr>
        <w:pStyle w:val="RVfliesstext175nb"/>
      </w:pPr>
      <w:r>
        <w:t>Der Beschluss der Kultusministerkonferenz vom 11. M</w:t>
      </w:r>
      <w:r>
        <w:t>ä</w:t>
      </w:r>
      <w:r>
        <w:t>rz 1976 beziehungsweise Beschluss der Referentensitzung vom 03.12.1997 wird wie folgt bekannt gegeben:</w:t>
      </w:r>
    </w:p>
    <w:p w14:paraId="3672413F" w14:textId="77777777" w:rsidR="00E13639" w:rsidRDefault="00E13639">
      <w:pPr>
        <w:pStyle w:val="RVueberschrift285fz"/>
      </w:pPr>
      <w:r>
        <w:t>1 Begriffsbestimmung</w:t>
      </w:r>
    </w:p>
    <w:p w14:paraId="583DE122" w14:textId="77777777" w:rsidR="00E13639" w:rsidRDefault="00E13639">
      <w:pPr>
        <w:pStyle w:val="RVfliesstext175nb"/>
      </w:pPr>
      <w:r>
        <w:t>In der Regel sind die Fremdsprachenassistentinnen und -assistenten Studierende eines Lehramtes f</w:t>
      </w:r>
      <w:r>
        <w:t>ü</w:t>
      </w:r>
      <w:r>
        <w:t>r lebende Fremdsprachen, die zu ihrer eigenen Fortbildung nach Deutschland kommen und damit Studienverpflichtungen erf</w:t>
      </w:r>
      <w:r>
        <w:t>ü</w:t>
      </w:r>
      <w:r>
        <w:t>llen. Zum Ablegen von Pr</w:t>
      </w:r>
      <w:r>
        <w:t>ü</w:t>
      </w:r>
      <w:r>
        <w:t>fungen in ihrem Herkunftsland muss ihnen Gelegenheit gegeben werden.</w:t>
      </w:r>
    </w:p>
    <w:p w14:paraId="58F2A79F" w14:textId="77777777" w:rsidR="00E13639" w:rsidRDefault="00E13639">
      <w:pPr>
        <w:pStyle w:val="RVfliesstext175nb"/>
      </w:pPr>
      <w:r>
        <w:t>Sie sind ausl</w:t>
      </w:r>
      <w:r>
        <w:t>ä</w:t>
      </w:r>
      <w:r>
        <w:t>ndische G</w:t>
      </w:r>
      <w:r>
        <w:t>ä</w:t>
      </w:r>
      <w:r>
        <w:t>ste, die als k</w:t>
      </w:r>
      <w:r>
        <w:t>ü</w:t>
      </w:r>
      <w:r>
        <w:t>nftige Lehrerinnen und Lehrer der deutschen Sprache oder als anderweitige Multiplikatoren das Bild von Deutschland, das sie w</w:t>
      </w:r>
      <w:r>
        <w:t>ä</w:t>
      </w:r>
      <w:r>
        <w:t>hrend ihres Aufenthaltes erhalten haben, an ihre Sch</w:t>
      </w:r>
      <w:r>
        <w:t>ü</w:t>
      </w:r>
      <w:r>
        <w:t>lerinnen und Sch</w:t>
      </w:r>
      <w:r>
        <w:t>ü</w:t>
      </w:r>
      <w:r>
        <w:t>ler oder andere weitergeben werden.</w:t>
      </w:r>
    </w:p>
    <w:p w14:paraId="70156988" w14:textId="77777777" w:rsidR="00E13639" w:rsidRDefault="00E13639">
      <w:pPr>
        <w:pStyle w:val="RVfliesstext175nb"/>
      </w:pPr>
      <w:r>
        <w:t>Die ausl</w:t>
      </w:r>
      <w:r>
        <w:t>ä</w:t>
      </w:r>
      <w:r>
        <w:t>ndischen Fremdsprachenassistentinnen und -assistenten unterst</w:t>
      </w:r>
      <w:r>
        <w:t>ü</w:t>
      </w:r>
      <w:r>
        <w:t>tzen die Lehrkr</w:t>
      </w:r>
      <w:r>
        <w:t>ä</w:t>
      </w:r>
      <w:r>
        <w:t xml:space="preserve">fte auf den Gebieten des Unterrichts, mit denen sie als </w:t>
      </w:r>
      <w:r>
        <w:t>„</w:t>
      </w:r>
      <w:r>
        <w:t>native speaker</w:t>
      </w:r>
      <w:r>
        <w:t>“</w:t>
      </w:r>
      <w:r>
        <w:t xml:space="preserve"> und als Vertreter ihres Landes besonders vertraut sind. Sie f</w:t>
      </w:r>
      <w:r>
        <w:t>ö</w:t>
      </w:r>
      <w:r>
        <w:t>rdern im Fremdsprachenunterricht vor allem die Sprechfertigkeit der Sch</w:t>
      </w:r>
      <w:r>
        <w:t>ü</w:t>
      </w:r>
      <w:r>
        <w:t>lerinnen und Sch</w:t>
      </w:r>
      <w:r>
        <w:t>ü</w:t>
      </w:r>
      <w:r>
        <w:t>ler und tragen dazu bei, deren Interesse an ihrer Sprache und ihrem Land zu st</w:t>
      </w:r>
      <w:r>
        <w:t>ä</w:t>
      </w:r>
      <w:r>
        <w:t>rken.</w:t>
      </w:r>
    </w:p>
    <w:p w14:paraId="007E8065" w14:textId="77777777" w:rsidR="00E13639" w:rsidRDefault="00E13639">
      <w:pPr>
        <w:pStyle w:val="RVueberschrift285fz"/>
      </w:pPr>
      <w:r>
        <w:t>2 Zuweisung</w:t>
      </w:r>
    </w:p>
    <w:p w14:paraId="10104B15" w14:textId="77777777" w:rsidR="00E13639" w:rsidRDefault="00E13639">
      <w:pPr>
        <w:pStyle w:val="RVfliesstext175nb"/>
      </w:pPr>
      <w:r>
        <w:t>Die ausl</w:t>
      </w:r>
      <w:r>
        <w:t>ä</w:t>
      </w:r>
      <w:r>
        <w:t>ndischen Assistenten und Assistentinnen werden vom f</w:t>
      </w:r>
      <w:r>
        <w:t>ü</w:t>
      </w:r>
      <w:r>
        <w:t>r den Schulbereich zust</w:t>
      </w:r>
      <w:r>
        <w:t>ä</w:t>
      </w:r>
      <w:r>
        <w:t>ndigen Ministerium des Landes, in das sie vom P</w:t>
      </w:r>
      <w:r>
        <w:t>ä</w:t>
      </w:r>
      <w:r>
        <w:t xml:space="preserve">dagogischen Austauschdienst vermittelt wurden, einer Schule zugewiesen. Sie erhalten von diesem Ministerium oder von der aufnehmenden Schule rechtzeitig das Zuweisungsschreiben zusammen mit dem Merkblatt </w:t>
      </w:r>
      <w:r>
        <w:t>„</w:t>
      </w:r>
      <w:r>
        <w:t>Rechte und Pflichten</w:t>
      </w:r>
      <w:r>
        <w:t>“</w:t>
      </w:r>
      <w:r>
        <w:t xml:space="preserve"> und den </w:t>
      </w:r>
      <w:r>
        <w:t>„</w:t>
      </w:r>
      <w:r>
        <w:t>Hinweisen vor Antritt der Fremdsprachenassistentenzeit</w:t>
      </w:r>
      <w:r>
        <w:t>“</w:t>
      </w:r>
      <w:r>
        <w:t>.</w:t>
      </w:r>
    </w:p>
    <w:p w14:paraId="5C1D146F" w14:textId="77777777" w:rsidR="00E13639" w:rsidRDefault="00E13639">
      <w:pPr>
        <w:pStyle w:val="RVfliesstext175nb"/>
      </w:pPr>
      <w:r>
        <w:t>Umgehend nach Erhalt der Zuweisung setzen sie sich mit ihrer k</w:t>
      </w:r>
      <w:r>
        <w:t>ü</w:t>
      </w:r>
      <w:r>
        <w:t>nftigen Schule und der zust</w:t>
      </w:r>
      <w:r>
        <w:t>ä</w:t>
      </w:r>
      <w:r>
        <w:t>ndigen Schulbeh</w:t>
      </w:r>
      <w:r>
        <w:t>ö</w:t>
      </w:r>
      <w:r>
        <w:t>rde in Verbindung und erkl</w:t>
      </w:r>
      <w:r>
        <w:t>ä</w:t>
      </w:r>
      <w:r>
        <w:t xml:space="preserve">ren schriftlich, ob sie die Stelle annehmen. </w:t>
      </w:r>
    </w:p>
    <w:p w14:paraId="62A5C751" w14:textId="77777777" w:rsidR="00E13639" w:rsidRDefault="00E13639">
      <w:pPr>
        <w:pStyle w:val="RVueberschrift285fz"/>
      </w:pPr>
      <w:r>
        <w:t>3 Dauer des Assistentenjahres</w:t>
      </w:r>
    </w:p>
    <w:p w14:paraId="0CDC609F" w14:textId="77777777" w:rsidR="00E13639" w:rsidRDefault="00E13639">
      <w:pPr>
        <w:pStyle w:val="RVfliesstext175nb"/>
      </w:pPr>
      <w:r>
        <w:t>Das Assistentenjahr beginnt in der Regel</w:t>
      </w:r>
    </w:p>
    <w:p w14:paraId="7D736057" w14:textId="77777777" w:rsidR="00E13639" w:rsidRDefault="00E13639">
      <w:pPr>
        <w:pStyle w:val="RVliste3u75nb"/>
      </w:pPr>
      <w:r>
        <w:t>-</w:t>
      </w:r>
      <w:r>
        <w:tab/>
        <w:t>f</w:t>
      </w:r>
      <w:r>
        <w:t>ü</w:t>
      </w:r>
      <w:r>
        <w:t>r englischsprachige Assistenten und Assistentinnen mit dem ersten Tag der entsprechenden Einf</w:t>
      </w:r>
      <w:r>
        <w:t>ü</w:t>
      </w:r>
      <w:r>
        <w:t>hrungstagung. Bei Nichtteilnahme beginnt die Assistentenzeit fr</w:t>
      </w:r>
      <w:r>
        <w:t>ü</w:t>
      </w:r>
      <w:r>
        <w:t>hestens am 3. September beziehungsweise am 13. September f</w:t>
      </w:r>
      <w:r>
        <w:t>ü</w:t>
      </w:r>
      <w:r>
        <w:t>r Assistentinnen und Assistenten aus der USA.</w:t>
      </w:r>
    </w:p>
    <w:p w14:paraId="4E43ECBB" w14:textId="77777777" w:rsidR="00E13639" w:rsidRDefault="00E13639">
      <w:pPr>
        <w:pStyle w:val="RVliste3u75nb"/>
      </w:pPr>
      <w:r>
        <w:t>-</w:t>
      </w:r>
      <w:r>
        <w:tab/>
        <w:t>f</w:t>
      </w:r>
      <w:r>
        <w:t>ü</w:t>
      </w:r>
      <w:r>
        <w:t>r franz</w:t>
      </w:r>
      <w:r>
        <w:t>ö</w:t>
      </w:r>
      <w:r>
        <w:t>sischsprachige Assistenten und Assistentinnen mit dem ersten Tag der entsprechenden Einf</w:t>
      </w:r>
      <w:r>
        <w:t>ü</w:t>
      </w:r>
      <w:r>
        <w:t>hrungstagung, bei Nichtteilnahme fr</w:t>
      </w:r>
      <w:r>
        <w:t>ü</w:t>
      </w:r>
      <w:r>
        <w:t>hestens am 1. Oktober.</w:t>
      </w:r>
    </w:p>
    <w:p w14:paraId="1EDD96FB" w14:textId="77777777" w:rsidR="00E13639" w:rsidRDefault="00E13639">
      <w:pPr>
        <w:pStyle w:val="RVliste3u75nb"/>
      </w:pPr>
      <w:r>
        <w:t>-</w:t>
      </w:r>
      <w:r>
        <w:tab/>
        <w:t>f</w:t>
      </w:r>
      <w:r>
        <w:t>ü</w:t>
      </w:r>
      <w:r>
        <w:t>r Assistenten und Assistentinnen anderer Sprachen am 25. September nach der Einf</w:t>
      </w:r>
      <w:r>
        <w:t>ü</w:t>
      </w:r>
      <w:r>
        <w:t>hrungstagung.</w:t>
      </w:r>
    </w:p>
    <w:p w14:paraId="35F5D4E1" w14:textId="77777777" w:rsidR="00E13639" w:rsidRDefault="00E13639">
      <w:pPr>
        <w:pStyle w:val="RVfliesstext175nb"/>
      </w:pPr>
      <w:r>
        <w:t>Das Assistentenjahr endet am 31. Mai.</w:t>
      </w:r>
    </w:p>
    <w:p w14:paraId="32F49055" w14:textId="77777777" w:rsidR="00E13639" w:rsidRDefault="00E13639">
      <w:pPr>
        <w:pStyle w:val="RVueberschrift285fz"/>
      </w:pPr>
      <w:r>
        <w:t>4 Finanzielle Regelung</w:t>
      </w:r>
    </w:p>
    <w:p w14:paraId="6B51E97D" w14:textId="77777777" w:rsidR="00E13639" w:rsidRDefault="00E13639">
      <w:pPr>
        <w:pStyle w:val="RVfliesstext175nb"/>
      </w:pPr>
      <w:r>
        <w:t>Die Assistentinnen und Assistenten erhalten ein Stipendium, das ab Antritt der Assistenzzeit - einschlie</w:t>
      </w:r>
      <w:r>
        <w:t>ß</w:t>
      </w:r>
      <w:r>
        <w:t>lich der Schulferien w</w:t>
      </w:r>
      <w:r>
        <w:t>ä</w:t>
      </w:r>
      <w:r>
        <w:t>hrend des Assistentenjahres - monatlich gezahlt wird. Die H</w:t>
      </w:r>
      <w:r>
        <w:t>ö</w:t>
      </w:r>
      <w:r>
        <w:t>he des Stipendiums wird von den L</w:t>
      </w:r>
      <w:r>
        <w:t>ä</w:t>
      </w:r>
      <w:r>
        <w:t>ndern in der Bundesrepublik Deutschland festgesetzt und in der Schulzuweisung mitgeteilt.</w:t>
      </w:r>
    </w:p>
    <w:p w14:paraId="40774DBB" w14:textId="77777777" w:rsidR="00E13639" w:rsidRDefault="00E13639">
      <w:pPr>
        <w:pStyle w:val="RVfliesstext175nb"/>
      </w:pPr>
      <w:r>
        <w:t>Die Fahrtkosten vom Herkunftsort zum Schulort und zur</w:t>
      </w:r>
      <w:r>
        <w:t>ü</w:t>
      </w:r>
      <w:r>
        <w:t>ck haben die Assistentinnen und Assistenten selbst zu tragen.</w:t>
      </w:r>
    </w:p>
    <w:p w14:paraId="3BEDD95F" w14:textId="77777777" w:rsidR="00E13639" w:rsidRDefault="00E13639">
      <w:pPr>
        <w:pStyle w:val="RVueberschrift285fz"/>
      </w:pPr>
      <w:r>
        <w:t>5 Einf</w:t>
      </w:r>
      <w:r>
        <w:t>ü</w:t>
      </w:r>
      <w:r>
        <w:t>hrungstagungen</w:t>
      </w:r>
      <w:r w:rsidRPr="00E13639">
        <w:rPr>
          <w:rStyle w:val="Funotenzeichen"/>
        </w:rPr>
        <w:footnoteReference w:id="1"/>
      </w:r>
    </w:p>
    <w:p w14:paraId="2EB8F491" w14:textId="77777777" w:rsidR="00E13639" w:rsidRDefault="00E13639">
      <w:pPr>
        <w:pStyle w:val="RVfliesstext175nb"/>
      </w:pPr>
      <w:r>
        <w:t>F</w:t>
      </w:r>
      <w:r>
        <w:t>ü</w:t>
      </w:r>
      <w:r>
        <w:t>r die Fremdsprachenassistenten und -assistentinnen werden Einf</w:t>
      </w:r>
      <w:r>
        <w:t>ü</w:t>
      </w:r>
      <w:r>
        <w:t>hrungstagungen in Deutschland durchgef</w:t>
      </w:r>
      <w:r>
        <w:t>ü</w:t>
      </w:r>
      <w:r>
        <w:t>hrt, um ihnen praktische Hilfestellungen f</w:t>
      </w:r>
      <w:r>
        <w:t>ü</w:t>
      </w:r>
      <w:r>
        <w:t>r das Assistentenjahr zu geben. Die Teilnahmegeb</w:t>
      </w:r>
      <w:r>
        <w:t>ü</w:t>
      </w:r>
      <w:r>
        <w:t>hr wird mit der Einladung mitgeteilt. Da ein Reisekostenzuschuss nicht m</w:t>
      </w:r>
      <w:r>
        <w:t>ö</w:t>
      </w:r>
      <w:r>
        <w:t xml:space="preserve">glich ist, soll die Anreise direkt vom Heimatland </w:t>
      </w:r>
      <w:r>
        <w:t>ü</w:t>
      </w:r>
      <w:r>
        <w:t>ber den Tagungsort zum Schulort erfolgen.</w:t>
      </w:r>
    </w:p>
    <w:p w14:paraId="088B3D77" w14:textId="77777777" w:rsidR="00E13639" w:rsidRDefault="00E13639">
      <w:pPr>
        <w:pStyle w:val="RVueberschrift285fz"/>
      </w:pPr>
      <w:r>
        <w:t>6 Aufgabenbeschreibung</w:t>
      </w:r>
    </w:p>
    <w:p w14:paraId="60C1A916" w14:textId="77777777" w:rsidR="00E13639" w:rsidRDefault="00E13639">
      <w:pPr>
        <w:pStyle w:val="RVfliesstext175nb"/>
      </w:pPr>
      <w:r>
        <w:t>Die Assistentinnen und Assistenten sollen f</w:t>
      </w:r>
      <w:r>
        <w:t>ü</w:t>
      </w:r>
      <w:r>
        <w:t>r ihre Aufgaben nicht mehr als 12 Stunden pro Woche in Anspruch genommen werden. Nach einer Einf</w:t>
      </w:r>
      <w:r>
        <w:t>ü</w:t>
      </w:r>
      <w:r>
        <w:t>hrungsphase sollten die Assistentinnen und Assistenten Unterricht auch mitgestalten. Die Fachlehrkr</w:t>
      </w:r>
      <w:r>
        <w:t>ä</w:t>
      </w:r>
      <w:r>
        <w:t>fte behalten durchg</w:t>
      </w:r>
      <w:r>
        <w:t>ä</w:t>
      </w:r>
      <w:r>
        <w:t>ngig die Verantwortung f</w:t>
      </w:r>
      <w:r>
        <w:t>ü</w:t>
      </w:r>
      <w:r>
        <w:t>r den Unterricht und die Bewertung der Ergebnisse.</w:t>
      </w:r>
    </w:p>
    <w:p w14:paraId="0080AD4D" w14:textId="77777777" w:rsidR="00E13639" w:rsidRDefault="00E13639">
      <w:pPr>
        <w:pStyle w:val="RVfliesstext175nb"/>
      </w:pPr>
      <w:r>
        <w:t>Neben der Assistenz im Fremdsprachenunterricht k</w:t>
      </w:r>
      <w:r>
        <w:t>ö</w:t>
      </w:r>
      <w:r>
        <w:t>nnen die Assistentinnen und Assistenten bei der Durchf</w:t>
      </w:r>
      <w:r>
        <w:t>ü</w:t>
      </w:r>
      <w:r>
        <w:t>hrung von au</w:t>
      </w:r>
      <w:r>
        <w:t>ß</w:t>
      </w:r>
      <w:r>
        <w:t xml:space="preserve">erunterrichtlichen </w:t>
      </w:r>
      <w:r>
        <w:t>Arbeitsgemeinschaften beteiligt werden. Bei der Herstellung von Tonaufnahmen k</w:t>
      </w:r>
      <w:r>
        <w:t>ö</w:t>
      </w:r>
      <w:r>
        <w:t>nnen sie wertvolle Hilfe leisten.</w:t>
      </w:r>
    </w:p>
    <w:p w14:paraId="6385238F" w14:textId="77777777" w:rsidR="00E13639" w:rsidRDefault="00E13639">
      <w:pPr>
        <w:pStyle w:val="RVfliesstext175nb"/>
      </w:pPr>
      <w:r>
        <w:t>Schlie</w:t>
      </w:r>
      <w:r>
        <w:t>ß</w:t>
      </w:r>
      <w:r>
        <w:t>lich sollen sie den Fachlehrkr</w:t>
      </w:r>
      <w:r>
        <w:t>ä</w:t>
      </w:r>
      <w:r>
        <w:t>ften auch zur Er</w:t>
      </w:r>
      <w:r>
        <w:t>ö</w:t>
      </w:r>
      <w:r>
        <w:t>rterung sprachlicher Fragen zur Verf</w:t>
      </w:r>
      <w:r>
        <w:t>ü</w:t>
      </w:r>
      <w:r>
        <w:t>gung stehen. Au</w:t>
      </w:r>
      <w:r>
        <w:t>ß</w:t>
      </w:r>
      <w:r>
        <w:t>erdem k</w:t>
      </w:r>
      <w:r>
        <w:t>ö</w:t>
      </w:r>
      <w:r>
        <w:t>nnen sie in die Arbeit der Zentren f</w:t>
      </w:r>
      <w:r>
        <w:t>ü</w:t>
      </w:r>
      <w:r>
        <w:t>r schulpraktische Lehrerausbildung einbezogen werden. Dar</w:t>
      </w:r>
      <w:r>
        <w:t>ü</w:t>
      </w:r>
      <w:r>
        <w:t>ber hinaus sollen sie an Konferenzen, zu denen sie eingeladen sind und an au</w:t>
      </w:r>
      <w:r>
        <w:t>ß</w:t>
      </w:r>
      <w:r>
        <w:t>erunterrichtlichen Veranstaltungen, zum Beispiel Wandertagen und Studienfahrten, der Schule teilnehmen.</w:t>
      </w:r>
    </w:p>
    <w:p w14:paraId="05B214D2" w14:textId="77777777" w:rsidR="00E13639" w:rsidRDefault="00E13639">
      <w:pPr>
        <w:pStyle w:val="RVfliesstext175nb"/>
      </w:pPr>
      <w:r>
        <w:t>Die Assistentinnen und Assistenten sollen von Anfang an einen festen Stundenplan haben, der mit R</w:t>
      </w:r>
      <w:r>
        <w:t>ü</w:t>
      </w:r>
      <w:r>
        <w:t>cksicht auf ihre au</w:t>
      </w:r>
      <w:r>
        <w:t>ß</w:t>
      </w:r>
      <w:r>
        <w:t>erschulische Fortbildung so gestaltet sein sollte, dass w</w:t>
      </w:r>
      <w:r>
        <w:t>ö</w:t>
      </w:r>
      <w:r>
        <w:t>chentlich ein freier Tag f</w:t>
      </w:r>
      <w:r>
        <w:t>ü</w:t>
      </w:r>
      <w:r>
        <w:t>r eigene Studien vorgesehen ist.</w:t>
      </w:r>
    </w:p>
    <w:p w14:paraId="1BD58280" w14:textId="77777777" w:rsidR="00E13639" w:rsidRDefault="00E13639">
      <w:pPr>
        <w:pStyle w:val="RVfliesstext175nb"/>
      </w:pPr>
      <w:r>
        <w:t>Die Assistentinnen und Assistenten erhalten au</w:t>
      </w:r>
      <w:r>
        <w:t>ß</w:t>
      </w:r>
      <w:r>
        <w:t>erdem nach Absprache mit der jeweiligen Fachlehrkraft die M</w:t>
      </w:r>
      <w:r>
        <w:t>ö</w:t>
      </w:r>
      <w:r>
        <w:t>glichkeit, in anderen F</w:t>
      </w:r>
      <w:r>
        <w:t>ä</w:t>
      </w:r>
      <w:r>
        <w:t>chern zu hospitieren.</w:t>
      </w:r>
    </w:p>
    <w:p w14:paraId="68FC238B" w14:textId="77777777" w:rsidR="00E13639" w:rsidRDefault="00E13639">
      <w:pPr>
        <w:pStyle w:val="RVueberschrift285fz"/>
      </w:pPr>
      <w:r>
        <w:t xml:space="preserve">7 Begrenzung der Aufgaben </w:t>
      </w:r>
      <w:r>
        <w:br/>
        <w:t>der Assistenten und Assistentinnen</w:t>
      </w:r>
    </w:p>
    <w:p w14:paraId="2BEC6A6F" w14:textId="77777777" w:rsidR="00E13639" w:rsidRDefault="00E13639">
      <w:pPr>
        <w:pStyle w:val="RVfliesstext175nb"/>
      </w:pPr>
      <w:r>
        <w:t>Die Assistenten und Assistentinnen d</w:t>
      </w:r>
      <w:r>
        <w:t>ü</w:t>
      </w:r>
      <w:r>
        <w:t>rfen nur mit Aufgaben betraut werden, die sie aufgrund ihrer Vorbildung und ihrer Stellung erf</w:t>
      </w:r>
      <w:r>
        <w:t>ü</w:t>
      </w:r>
      <w:r>
        <w:t>llen k</w:t>
      </w:r>
      <w:r>
        <w:t>ö</w:t>
      </w:r>
      <w:r>
        <w:t xml:space="preserve">nnen und die nicht </w:t>
      </w:r>
      <w:r>
        <w:t>ü</w:t>
      </w:r>
      <w:r>
        <w:t>ber das hinausgehen, was im vorigen Kapitel beschrieben ist.</w:t>
      </w:r>
    </w:p>
    <w:p w14:paraId="27BBDD1F" w14:textId="77777777" w:rsidR="00E13639" w:rsidRDefault="00E13639">
      <w:pPr>
        <w:pStyle w:val="RVfliesstext175nb"/>
      </w:pPr>
      <w:r>
        <w:t>Im Rahmen ihrer Aufgaben d</w:t>
      </w:r>
      <w:r>
        <w:t>ü</w:t>
      </w:r>
      <w:r>
        <w:t>rfen sie insbesondere nicht:</w:t>
      </w:r>
    </w:p>
    <w:p w14:paraId="6D1EBBF6" w14:textId="77777777" w:rsidR="00E13639" w:rsidRDefault="00E13639">
      <w:pPr>
        <w:pStyle w:val="RVliste3u75nb"/>
      </w:pPr>
      <w:r>
        <w:t>-</w:t>
      </w:r>
      <w:r>
        <w:tab/>
        <w:t>vollen Unterricht in eigener Verantwortung erteilen;</w:t>
      </w:r>
    </w:p>
    <w:p w14:paraId="4F1DB411" w14:textId="77777777" w:rsidR="00E13639" w:rsidRDefault="00E13639">
      <w:pPr>
        <w:pStyle w:val="RVliste3u75nb"/>
      </w:pPr>
      <w:r>
        <w:t>-</w:t>
      </w:r>
      <w:r>
        <w:tab/>
        <w:t>Klassenarbeiten oder Schulaufgaben korrigieren und benoten;</w:t>
      </w:r>
    </w:p>
    <w:p w14:paraId="4191D900" w14:textId="77777777" w:rsidR="00E13639" w:rsidRDefault="00E13639">
      <w:pPr>
        <w:pStyle w:val="RVliste3u75nb"/>
      </w:pPr>
      <w:r>
        <w:t>-</w:t>
      </w:r>
      <w:r>
        <w:tab/>
        <w:t>Unterricht in anderen F</w:t>
      </w:r>
      <w:r>
        <w:t>ä</w:t>
      </w:r>
      <w:r>
        <w:t>chern erteilen;</w:t>
      </w:r>
    </w:p>
    <w:p w14:paraId="133EB343" w14:textId="77777777" w:rsidR="00E13639" w:rsidRDefault="00E13639">
      <w:pPr>
        <w:pStyle w:val="RVliste3u75nb"/>
      </w:pPr>
      <w:r>
        <w:t>-</w:t>
      </w:r>
      <w:r>
        <w:tab/>
        <w:t>regelm</w:t>
      </w:r>
      <w:r>
        <w:t>äß</w:t>
      </w:r>
      <w:r>
        <w:t xml:space="preserve">ig Vertretungsstunden </w:t>
      </w:r>
      <w:r>
        <w:t>ü</w:t>
      </w:r>
      <w:r>
        <w:t>bernehmen;</w:t>
      </w:r>
    </w:p>
    <w:p w14:paraId="676FD825" w14:textId="77777777" w:rsidR="00E13639" w:rsidRDefault="00E13639">
      <w:pPr>
        <w:pStyle w:val="RVliste3u75nb"/>
      </w:pPr>
      <w:r>
        <w:t>-</w:t>
      </w:r>
      <w:r>
        <w:tab/>
        <w:t>Schulstrafen aussprechen;</w:t>
      </w:r>
    </w:p>
    <w:p w14:paraId="48C3F63B" w14:textId="77777777" w:rsidR="00E13639" w:rsidRDefault="00E13639">
      <w:pPr>
        <w:pStyle w:val="RVliste3u75nb"/>
      </w:pPr>
      <w:r>
        <w:t>-</w:t>
      </w:r>
      <w:r>
        <w:tab/>
        <w:t>Aufsicht f</w:t>
      </w:r>
      <w:r>
        <w:t>ü</w:t>
      </w:r>
      <w:r>
        <w:t>hren (weder Pausenaufsicht noch eigenverantwortliche Aufsicht bei Wandertagen und Studienfahrten).</w:t>
      </w:r>
    </w:p>
    <w:p w14:paraId="20CA19C4" w14:textId="77777777" w:rsidR="00E13639" w:rsidRDefault="00E13639">
      <w:pPr>
        <w:pStyle w:val="RVueberschrift285fz"/>
      </w:pPr>
      <w:r>
        <w:t>8 Verfahren bei Konflikten</w:t>
      </w:r>
    </w:p>
    <w:p w14:paraId="044B3000" w14:textId="77777777" w:rsidR="00E13639" w:rsidRDefault="00E13639">
      <w:pPr>
        <w:pStyle w:val="RVfliesstext175nb"/>
      </w:pPr>
      <w:r>
        <w:t>Bei Disziplinschwierigkeiten im Unterricht gew</w:t>
      </w:r>
      <w:r>
        <w:t>ä</w:t>
      </w:r>
      <w:r>
        <w:t>hrt dem Assistenten oder der Assistentin die Schule durch die Fachlehrkraft, die Betreuungslehrkraft oder die Schulleitung die erforderliche Hilfe.</w:t>
      </w:r>
    </w:p>
    <w:p w14:paraId="537D2187" w14:textId="77777777" w:rsidR="00E13639" w:rsidRDefault="00E13639">
      <w:pPr>
        <w:pStyle w:val="RVfliesstext175nb"/>
      </w:pPr>
      <w:r>
        <w:t>Meinungsverschiedenheiten und Probleme, die sich f</w:t>
      </w:r>
      <w:r>
        <w:t>ü</w:t>
      </w:r>
      <w:r>
        <w:t>r den Assistenten oder die Assistentin in der Schule ergeben, sind m</w:t>
      </w:r>
      <w:r>
        <w:t>ö</w:t>
      </w:r>
      <w:r>
        <w:t>glichst innerhalb der Schule durch Gespr</w:t>
      </w:r>
      <w:r>
        <w:t>ä</w:t>
      </w:r>
      <w:r>
        <w:t>che zwischen den Beteiligten oder mit der Schulleitung g</w:t>
      </w:r>
      <w:r>
        <w:t>ü</w:t>
      </w:r>
      <w:r>
        <w:t>tlich beizulegen. Ist - auch nach Einschaltung des Referenten oder der Referentin f</w:t>
      </w:r>
      <w:r>
        <w:t>ü</w:t>
      </w:r>
      <w:r>
        <w:t>r den Austausch im zust</w:t>
      </w:r>
      <w:r>
        <w:t>ä</w:t>
      </w:r>
      <w:r>
        <w:t>ndigen Ministerium - eine g</w:t>
      </w:r>
      <w:r>
        <w:t>ü</w:t>
      </w:r>
      <w:r>
        <w:t>tliche Regelung des Konfliktes nicht m</w:t>
      </w:r>
      <w:r>
        <w:t>ö</w:t>
      </w:r>
      <w:r>
        <w:t>glich oder sollte der Assistent oder die Assistentin die Pflichten erheblich verletzen, gibt die Schulleitung dem Assistenten oder der Assistentin zun</w:t>
      </w:r>
      <w:r>
        <w:t>ä</w:t>
      </w:r>
      <w:r>
        <w:t xml:space="preserve">chst Gelegenheit, sich dazu zu </w:t>
      </w:r>
      <w:r>
        <w:t>ä</w:t>
      </w:r>
      <w:r>
        <w:t>u</w:t>
      </w:r>
      <w:r>
        <w:t>ß</w:t>
      </w:r>
      <w:r>
        <w:t>ern. Die Schulleitung berichtet anschlie</w:t>
      </w:r>
      <w:r>
        <w:t>ß</w:t>
      </w:r>
      <w:r>
        <w:t>end der zust</w:t>
      </w:r>
      <w:r>
        <w:t>ä</w:t>
      </w:r>
      <w:r>
        <w:t>ndigen Schulbeh</w:t>
      </w:r>
      <w:r>
        <w:t>ö</w:t>
      </w:r>
      <w:r>
        <w:t>rde unter Beif</w:t>
      </w:r>
      <w:r>
        <w:t>ü</w:t>
      </w:r>
      <w:r>
        <w:t>gung der schriftlichen Stellungnahme des Assistenten oder der Assistentin.</w:t>
      </w:r>
    </w:p>
    <w:p w14:paraId="027C145C" w14:textId="77777777" w:rsidR="00E13639" w:rsidRDefault="00E13639">
      <w:pPr>
        <w:pStyle w:val="RVfliesstext175nb"/>
      </w:pPr>
      <w:r>
        <w:t>Ü</w:t>
      </w:r>
      <w:r>
        <w:t xml:space="preserve">ber schwerwiegende Entscheidungen des Ministeriums, insbesondere </w:t>
      </w:r>
      <w:r>
        <w:t>ü</w:t>
      </w:r>
      <w:r>
        <w:t>ber Versetzung oder vorzeitige Entbindung von den Aufgaben im Rahmen des Austauschprogramms, wird der P</w:t>
      </w:r>
      <w:r>
        <w:t>ä</w:t>
      </w:r>
      <w:r>
        <w:t>dagogische Austauschdienst unterrichtet. Dieser verst</w:t>
      </w:r>
      <w:r>
        <w:t>ä</w:t>
      </w:r>
      <w:r>
        <w:t>ndigt dann entsprechend die ausl</w:t>
      </w:r>
      <w:r>
        <w:t>ä</w:t>
      </w:r>
      <w:r>
        <w:t>ndische Partnerbeh</w:t>
      </w:r>
      <w:r>
        <w:t>ö</w:t>
      </w:r>
      <w:r>
        <w:t>rde.</w:t>
      </w:r>
    </w:p>
    <w:p w14:paraId="6D25B881" w14:textId="77777777" w:rsidR="00E13639" w:rsidRDefault="00E13639">
      <w:pPr>
        <w:pStyle w:val="RVfliesstext175nb"/>
      </w:pPr>
    </w:p>
    <w:sectPr w:rsidR="00000000">
      <w:footerReference w:type="default" r:id="rId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ACB0F" w14:textId="77777777" w:rsidR="00E13639" w:rsidRDefault="00E13639">
      <w:r>
        <w:separator/>
      </w:r>
    </w:p>
  </w:endnote>
  <w:endnote w:type="continuationSeparator" w:id="0">
    <w:p w14:paraId="43D6AB29" w14:textId="77777777" w:rsidR="00E13639" w:rsidRDefault="00E1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AB6D" w14:textId="77777777" w:rsidR="00E13639" w:rsidRDefault="00E136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92C9" w14:textId="77777777" w:rsidR="00E13639" w:rsidRDefault="00E13639">
      <w:r>
        <w:rPr>
          <w:rFonts w:eastAsiaTheme="minorEastAsia" w:cstheme="minorBidi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52DC8178" w14:textId="77777777" w:rsidR="00E13639" w:rsidRDefault="00E13639">
      <w:r>
        <w:continuationSeparator/>
      </w:r>
    </w:p>
  </w:footnote>
  <w:footnote w:id="1">
    <w:p w14:paraId="2550E90F" w14:textId="77777777" w:rsidR="00E13639" w:rsidRDefault="00E13639">
      <w:pPr>
        <w:pStyle w:val="RVFudfnote160kb"/>
      </w:pPr>
      <w:r w:rsidRPr="00E13639">
        <w:rPr>
          <w:rStyle w:val="Funotenzeichen"/>
          <w:rFonts w:eastAsiaTheme="minorEastAsia"/>
        </w:rPr>
        <w:footnoteRef/>
      </w:r>
      <w:r>
        <w:tab/>
        <w:t xml:space="preserve">Nummer 5 dieses Runderlasses wird in Nordrhein-Westfalen wie folgt gehandhabt: </w:t>
      </w:r>
      <w:r>
        <w:br/>
        <w:t>Die Fremdsprachenassistenzkr</w:t>
      </w:r>
      <w:r>
        <w:t>ä</w:t>
      </w:r>
      <w:r>
        <w:t>fte werden auf ihre Aufgaben an Schulen in Nordrhein-Westfalen intensiv vorbereitet und w</w:t>
      </w:r>
      <w:r>
        <w:t>ä</w:t>
      </w:r>
      <w:r>
        <w:t>hrend der gesamten Zeit begleitet. Sowohl der P</w:t>
      </w:r>
      <w:r>
        <w:t>ä</w:t>
      </w:r>
      <w:r>
        <w:t>dagogische Austauschdienst als auch die Bezirksregierung D</w:t>
      </w:r>
      <w:r>
        <w:t>ü</w:t>
      </w:r>
      <w:r>
        <w:t>sseldorf f</w:t>
      </w:r>
      <w:r>
        <w:t>ü</w:t>
      </w:r>
      <w:r>
        <w:t>hren jeweils Einf</w:t>
      </w:r>
      <w:r>
        <w:t>ü</w:t>
      </w:r>
      <w:r>
        <w:t>hrungstagungen durch. Zudem werden durch die betreuenden Tutorinnen und Tutoren im Verlauf des Fremdsprachenassistenzjahres Regionaltagungen in den Regierungsbezirken organisiert. Die Veranstaltungen sind jeweils verpflichtend, d.h. die Fremdsprachenassistenzkr</w:t>
      </w:r>
      <w:r>
        <w:t>ä</w:t>
      </w:r>
      <w:r>
        <w:t>fte werden hierf</w:t>
      </w:r>
      <w:r>
        <w:t>ü</w:t>
      </w:r>
      <w:r>
        <w:t>r von ihren schulischen Verpflichtungen befreit.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05E2"/>
    <w:rsid w:val="006F05E2"/>
    <w:rsid w:val="00A339FA"/>
    <w:rsid w:val="00E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498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 w:cstheme="minorBidi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 w:cstheme="minorBidi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 w:cstheme="minorBidi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 w:cstheme="minorBidi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2024-09-10T02:07:00Z</dcterms:created>
  <dcterms:modified xsi:type="dcterms:W3CDTF">2024-09-10T02:07:00Z</dcterms:modified>
</cp:coreProperties>
</file>