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BE8FA" w14:textId="77777777" w:rsidR="00C95DE0" w:rsidRDefault="00C95DE0">
      <w:pPr>
        <w:pStyle w:val="Bass-Nr"/>
        <w:keepNext/>
        <w:rPr>
          <w:rFonts w:cs="Calibri"/>
        </w:rPr>
      </w:pPr>
      <w:bookmarkStart w:id="0" w:name="10-45nr2"/>
      <w:bookmarkEnd w:id="0"/>
      <w:r>
        <w:t>10-45 Nr. 2</w:t>
      </w:r>
    </w:p>
    <w:p w14:paraId="79659D4D" w14:textId="77777777" w:rsidR="00C95DE0" w:rsidRDefault="00C95DE0">
      <w:pPr>
        <w:pStyle w:val="RVueberschrift1100fz"/>
        <w:keepNext/>
        <w:keepLines/>
      </w:pPr>
      <w:r>
        <w:rPr>
          <w:rFonts w:cs="Arial"/>
        </w:rPr>
        <w:t xml:space="preserve">Wissenschaftliche Untersuchungen, </w:t>
      </w:r>
      <w:r>
        <w:rPr>
          <w:rFonts w:cs="Arial"/>
        </w:rPr>
        <w:br/>
        <w:t xml:space="preserve">Tests und Befragungen an Schulen </w:t>
      </w:r>
      <w:r>
        <w:rPr>
          <w:rFonts w:cs="Arial"/>
        </w:rPr>
        <w:br/>
        <w:t>gem</w:t>
      </w:r>
      <w:r>
        <w:rPr>
          <w:rFonts w:cs="Arial"/>
        </w:rPr>
        <w:t>äß</w:t>
      </w:r>
      <w:hyperlink w:anchor="https://bass.schul-welt.de/6043.htm#1-1p120(4)" w:history="1">
        <w:r>
          <w:rPr>
            <w:rFonts w:cs="Arial"/>
          </w:rPr>
          <w:t xml:space="preserve"> § 120 Abs. 4 SchulG</w:t>
        </w:r>
      </w:hyperlink>
    </w:p>
    <w:p w14:paraId="4A50950C" w14:textId="77777777" w:rsidR="00C95DE0" w:rsidRDefault="00C95DE0">
      <w:pPr>
        <w:pStyle w:val="RVueberschrift285nz"/>
        <w:keepNext/>
        <w:keepLines/>
        <w:rPr>
          <w:rFonts w:cs="Arial"/>
        </w:rPr>
      </w:pP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</w:t>
      </w:r>
      <w:r>
        <w:t>.</w:t>
      </w:r>
      <w:r>
        <w:rPr>
          <w:rFonts w:cs="Arial"/>
        </w:rPr>
        <w:t xml:space="preserve"> 15</w:t>
      </w:r>
      <w:r>
        <w:t>.</w:t>
      </w:r>
      <w:r>
        <w:rPr>
          <w:rFonts w:cs="Arial"/>
        </w:rPr>
        <w:t>07</w:t>
      </w:r>
      <w:r>
        <w:t>.</w:t>
      </w:r>
      <w:r>
        <w:rPr>
          <w:rFonts w:cs="Arial"/>
        </w:rPr>
        <w:t xml:space="preserve">1996 </w:t>
      </w:r>
      <w:r>
        <w:t>(</w:t>
      </w:r>
      <w:r>
        <w:rPr>
          <w:rFonts w:cs="Arial"/>
        </w:rPr>
        <w:t>GABl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I S</w:t>
      </w:r>
      <w:r>
        <w:t>.</w:t>
      </w:r>
      <w:r>
        <w:rPr>
          <w:rFonts w:cs="Arial"/>
        </w:rPr>
        <w:t xml:space="preserve"> 152</w:t>
      </w:r>
      <w: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1072D3CA" w14:textId="77777777" w:rsidR="00C95DE0" w:rsidRDefault="00C95DE0">
      <w:pPr>
        <w:pStyle w:val="RVueberschrift285fz"/>
        <w:keepNext/>
        <w:keepLines/>
      </w:pPr>
      <w:r>
        <w:rPr>
          <w:rFonts w:cs="Calibri"/>
        </w:rPr>
        <w:t>I.</w:t>
      </w:r>
    </w:p>
    <w:p w14:paraId="2033AB7A" w14:textId="77777777" w:rsidR="00C95DE0" w:rsidRDefault="00C95DE0">
      <w:pPr>
        <w:pStyle w:val="RVfliesstext175nb"/>
        <w:widowControl/>
      </w:pPr>
      <w:r>
        <w:rPr>
          <w:rFonts w:cs="Calibri"/>
        </w:rPr>
        <w:t>1 Empirische Untersuchungen und Befragungen dienen der wissenschaftlichen Erforschung unterrichtlicher und erzieherischer Prozesse und k</w:t>
      </w:r>
      <w:r>
        <w:rPr>
          <w:rFonts w:cs="Calibri"/>
        </w:rPr>
        <w:t>ö</w:t>
      </w:r>
      <w:r>
        <w:rPr>
          <w:rFonts w:cs="Calibri"/>
        </w:rPr>
        <w:t>nnen zu neuen Erkenntnissen im p</w:t>
      </w:r>
      <w:r>
        <w:rPr>
          <w:rFonts w:cs="Calibri"/>
        </w:rPr>
        <w:t>ä</w:t>
      </w:r>
      <w:r>
        <w:rPr>
          <w:rFonts w:cs="Calibri"/>
        </w:rPr>
        <w:t>dagogischen und methodisch-didaktischen Bereich f</w:t>
      </w:r>
      <w:r>
        <w:rPr>
          <w:rFonts w:cs="Calibri"/>
        </w:rPr>
        <w:t>ü</w:t>
      </w:r>
      <w:r>
        <w:rPr>
          <w:rFonts w:cs="Calibri"/>
        </w:rPr>
        <w:t>hren. Sie k</w:t>
      </w:r>
      <w:r>
        <w:rPr>
          <w:rFonts w:cs="Calibri"/>
        </w:rPr>
        <w:t>ö</w:t>
      </w:r>
      <w:r>
        <w:rPr>
          <w:rFonts w:cs="Calibri"/>
        </w:rPr>
        <w:t>nnen f</w:t>
      </w:r>
      <w:r>
        <w:rPr>
          <w:rFonts w:cs="Calibri"/>
        </w:rPr>
        <w:t>ü</w:t>
      </w:r>
      <w:r>
        <w:rPr>
          <w:rFonts w:cs="Calibri"/>
        </w:rPr>
        <w:t>r die Ausbildung und Fortbildung von Lehrerinnen und Lehrern von Bedeutung sein und diesen in der Schule wichtige Anregungen und Hilfen f</w:t>
      </w:r>
      <w:r>
        <w:rPr>
          <w:rFonts w:cs="Calibri"/>
        </w:rPr>
        <w:t>ü</w:t>
      </w:r>
      <w:r>
        <w:rPr>
          <w:rFonts w:cs="Calibri"/>
        </w:rPr>
        <w:t>r die Bew</w:t>
      </w:r>
      <w:r>
        <w:rPr>
          <w:rFonts w:cs="Calibri"/>
        </w:rPr>
        <w:t>ä</w:t>
      </w:r>
      <w:r>
        <w:rPr>
          <w:rFonts w:cs="Calibri"/>
        </w:rPr>
        <w:t>ltigung ihrer Aufgaben geben.</w:t>
      </w:r>
    </w:p>
    <w:p w14:paraId="7946188C" w14:textId="77777777" w:rsidR="00C95DE0" w:rsidRDefault="00C95DE0">
      <w:pPr>
        <w:pStyle w:val="RVfliesstext175nb"/>
        <w:widowControl/>
      </w:pPr>
      <w:r>
        <w:rPr>
          <w:rFonts w:cs="Calibri"/>
        </w:rPr>
        <w:t>2 Personen und Institutionen, die empirische Untersuchungen bzw. Befragungen in Schulen durchf</w:t>
      </w:r>
      <w:r>
        <w:rPr>
          <w:rFonts w:cs="Calibri"/>
        </w:rPr>
        <w:t>ü</w:t>
      </w:r>
      <w:r>
        <w:rPr>
          <w:rFonts w:cs="Calibri"/>
        </w:rPr>
        <w:t>hren wollen, wenden sich an die jeweiligen Schulleitungen.</w:t>
      </w:r>
    </w:p>
    <w:p w14:paraId="112899AA" w14:textId="77777777" w:rsidR="00C95DE0" w:rsidRDefault="00C95DE0">
      <w:pPr>
        <w:pStyle w:val="RVfliesstext175nb"/>
        <w:widowControl/>
      </w:pPr>
      <w:r>
        <w:rPr>
          <w:rFonts w:cs="Calibri"/>
        </w:rPr>
        <w:t>2.1 Die Anfragen sollen folgende Angaben bzw. Unterlagen enthalten:</w:t>
      </w:r>
    </w:p>
    <w:p w14:paraId="5D9BCA53" w14:textId="77777777" w:rsidR="00C95DE0" w:rsidRDefault="00C95DE0">
      <w:pPr>
        <w:pStyle w:val="RVfliesstext175nb"/>
        <w:widowControl/>
      </w:pPr>
      <w:r>
        <w:rPr>
          <w:rFonts w:cs="Calibri"/>
        </w:rPr>
        <w:t>2.1.1 eine Darstellung des Untersuchungsvorhabens,</w:t>
      </w:r>
    </w:p>
    <w:p w14:paraId="3CADBB81" w14:textId="77777777" w:rsidR="00C95DE0" w:rsidRDefault="00C95DE0">
      <w:pPr>
        <w:pStyle w:val="RVfliesstext175nb"/>
        <w:widowControl/>
      </w:pPr>
      <w:r>
        <w:rPr>
          <w:rFonts w:cs="Calibri"/>
        </w:rPr>
        <w:t>2.1.2 Muster aller Unterlagen, deren Verwendung vorgesehen ist,</w:t>
      </w:r>
    </w:p>
    <w:p w14:paraId="6FFF062C" w14:textId="77777777" w:rsidR="00C95DE0" w:rsidRDefault="00C95DE0">
      <w:pPr>
        <w:pStyle w:val="RVfliesstext175nb"/>
        <w:widowControl/>
      </w:pPr>
      <w:r>
        <w:rPr>
          <w:rFonts w:cs="Calibri"/>
        </w:rPr>
        <w:t xml:space="preserve">2.1.3 Angaben </w:t>
      </w:r>
      <w:r>
        <w:rPr>
          <w:rFonts w:cs="Calibri"/>
        </w:rPr>
        <w:t>ü</w:t>
      </w:r>
      <w:r>
        <w:rPr>
          <w:rFonts w:cs="Calibri"/>
        </w:rPr>
        <w:t>ber die voraussichtliche Inanspruchnahme der Lehrkr</w:t>
      </w:r>
      <w:r>
        <w:rPr>
          <w:rFonts w:cs="Calibri"/>
        </w:rPr>
        <w:t>ä</w:t>
      </w:r>
      <w:r>
        <w:rPr>
          <w:rFonts w:cs="Calibri"/>
        </w:rPr>
        <w:t>fte und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</w:t>
      </w:r>
    </w:p>
    <w:p w14:paraId="259CBCAC" w14:textId="77777777" w:rsidR="00C95DE0" w:rsidRDefault="00C95DE0">
      <w:pPr>
        <w:pStyle w:val="RVfliesstext175nb"/>
        <w:widowControl/>
      </w:pPr>
      <w:r>
        <w:rPr>
          <w:rFonts w:cs="Calibri"/>
        </w:rPr>
        <w:t>2.1.4 den Zeitplan der Untersuchung oder Befragung,</w:t>
      </w:r>
    </w:p>
    <w:p w14:paraId="08FEE18A" w14:textId="77777777" w:rsidR="00C95DE0" w:rsidRDefault="00C95DE0">
      <w:pPr>
        <w:pStyle w:val="RVfliesstext175nb"/>
        <w:widowControl/>
      </w:pPr>
      <w:r>
        <w:rPr>
          <w:rFonts w:cs="Calibri"/>
        </w:rPr>
        <w:t>2.1.5 bei Anfragen aus dem Hochschulbereich eine Stellungnahme der fachlich zust</w:t>
      </w:r>
      <w:r>
        <w:rPr>
          <w:rFonts w:cs="Calibri"/>
        </w:rPr>
        <w:t>ä</w:t>
      </w:r>
      <w:r>
        <w:rPr>
          <w:rFonts w:cs="Calibri"/>
        </w:rPr>
        <w:t>ndigen Hochschullehrerin oder des Hochschullehrers, bei Anfragen aus Zentren f</w:t>
      </w:r>
      <w:r>
        <w:rPr>
          <w:rFonts w:cs="Calibri"/>
        </w:rPr>
        <w:t>ü</w:t>
      </w:r>
      <w:r>
        <w:rPr>
          <w:rFonts w:cs="Calibri"/>
        </w:rPr>
        <w:t>r schulpraktische Lehrerausbildung eine Stellungnahme der Fachleiterin oder des Fachleiters und der Leitung des Zentrums f</w:t>
      </w:r>
      <w:r>
        <w:rPr>
          <w:rFonts w:cs="Calibri"/>
        </w:rPr>
        <w:t>ü</w:t>
      </w:r>
      <w:r>
        <w:rPr>
          <w:rFonts w:cs="Calibri"/>
        </w:rPr>
        <w:t>r schulpraktische Lehrerausbildung, in der das Vorhaben in Inhalt und Form unterst</w:t>
      </w:r>
      <w:r>
        <w:rPr>
          <w:rFonts w:cs="Calibri"/>
        </w:rPr>
        <w:t>ü</w:t>
      </w:r>
      <w:r>
        <w:rPr>
          <w:rFonts w:cs="Calibri"/>
        </w:rPr>
        <w:t>tzt wird.</w:t>
      </w:r>
    </w:p>
    <w:p w14:paraId="351F1073" w14:textId="77777777" w:rsidR="00C95DE0" w:rsidRDefault="00C95DE0">
      <w:pPr>
        <w:pStyle w:val="RVfliesstext175nb"/>
        <w:widowControl/>
      </w:pPr>
      <w:r>
        <w:rPr>
          <w:rFonts w:cs="Calibri"/>
        </w:rPr>
        <w:t>Das Ergebnis der Untersuchung oder Befragung ist der Schule zuzuleiten.</w:t>
      </w:r>
    </w:p>
    <w:p w14:paraId="03C6D0CA" w14:textId="77777777" w:rsidR="00C95DE0" w:rsidRDefault="00C95DE0">
      <w:pPr>
        <w:pStyle w:val="RVfliesstext175nb"/>
        <w:widowControl/>
      </w:pPr>
      <w:r>
        <w:rPr>
          <w:rFonts w:cs="Calibri"/>
        </w:rPr>
        <w:t xml:space="preserve">3 Die Entscheidung </w:t>
      </w:r>
      <w:r>
        <w:rPr>
          <w:rFonts w:cs="Calibri"/>
        </w:rPr>
        <w:t>ü</w:t>
      </w:r>
      <w:r>
        <w:rPr>
          <w:rFonts w:cs="Calibri"/>
        </w:rPr>
        <w:t>ber die Durchf</w:t>
      </w:r>
      <w:r>
        <w:rPr>
          <w:rFonts w:cs="Calibri"/>
        </w:rPr>
        <w:t>ü</w:t>
      </w:r>
      <w:r>
        <w:rPr>
          <w:rFonts w:cs="Calibri"/>
        </w:rPr>
        <w:t>hrung der empirischen Untersuchung oder Befragung trifft die Schulleitung nach Beteiligung der Schulkonferenz. Ein Anspruch auf Zustimmung besteht nicht.</w:t>
      </w:r>
    </w:p>
    <w:p w14:paraId="7D449405" w14:textId="77777777" w:rsidR="00C95DE0" w:rsidRDefault="00C95DE0">
      <w:pPr>
        <w:pStyle w:val="RVfliesstext175nb"/>
        <w:widowControl/>
      </w:pPr>
      <w:r>
        <w:rPr>
          <w:rFonts w:cs="Calibri"/>
        </w:rPr>
        <w:t>3.1 Die Zustimmung kann nur erteilt werden,</w:t>
      </w:r>
    </w:p>
    <w:p w14:paraId="4AEF7E53" w14:textId="77777777" w:rsidR="00C95DE0" w:rsidRDefault="00C95DE0">
      <w:pPr>
        <w:pStyle w:val="RVfliesstext175nb"/>
        <w:widowControl/>
      </w:pPr>
      <w:r>
        <w:rPr>
          <w:rFonts w:cs="Calibri"/>
        </w:rPr>
        <w:t>3.1.1 wenn keine unvertretbare Belastung des Unterrichts stattfindet,</w:t>
      </w:r>
    </w:p>
    <w:p w14:paraId="60CE0F64" w14:textId="77777777" w:rsidR="00C95DE0" w:rsidRDefault="00C95DE0">
      <w:pPr>
        <w:pStyle w:val="RVfliesstext175nb"/>
        <w:widowControl/>
      </w:pPr>
      <w:r>
        <w:rPr>
          <w:rFonts w:cs="Calibri"/>
        </w:rPr>
        <w:t>3.1.2 wenn Lehrkr</w:t>
      </w:r>
      <w:r>
        <w:rPr>
          <w:rFonts w:cs="Calibri"/>
        </w:rPr>
        <w:t>ä</w:t>
      </w:r>
      <w:r>
        <w:rPr>
          <w:rFonts w:cs="Calibri"/>
        </w:rPr>
        <w:t>fte und Verwaltungspersonal der Schule nicht in der Wahrnehmung ihrer Aufgaben beeintr</w:t>
      </w:r>
      <w:r>
        <w:rPr>
          <w:rFonts w:cs="Calibri"/>
        </w:rPr>
        <w:t>ä</w:t>
      </w:r>
      <w:r>
        <w:rPr>
          <w:rFonts w:cs="Calibri"/>
        </w:rPr>
        <w:t>chtigt werden,</w:t>
      </w:r>
    </w:p>
    <w:p w14:paraId="5C3155FA" w14:textId="77777777" w:rsidR="00C95DE0" w:rsidRDefault="00C95DE0">
      <w:pPr>
        <w:pStyle w:val="RVfliesstext175nb"/>
        <w:widowControl/>
      </w:pPr>
      <w:r>
        <w:rPr>
          <w:rFonts w:cs="Calibri"/>
        </w:rPr>
        <w:t>3.1.3 wenn sich das Vorhaben auf die Unterrichts- und Erziehungswirklichkeit in Schule und Unterricht bezieht,</w:t>
      </w:r>
    </w:p>
    <w:p w14:paraId="6BBC522D" w14:textId="77777777" w:rsidR="00C95DE0" w:rsidRDefault="00C95DE0">
      <w:pPr>
        <w:pStyle w:val="RVfliesstext175nb"/>
        <w:widowControl/>
      </w:pPr>
      <w:r>
        <w:rPr>
          <w:rFonts w:cs="Calibri"/>
        </w:rPr>
        <w:t>3.1.4 wenn durch Art und Inhalt der Untersuchung oder Befragung nicht in schutzw</w:t>
      </w:r>
      <w:r>
        <w:rPr>
          <w:rFonts w:cs="Calibri"/>
        </w:rPr>
        <w:t>ü</w:t>
      </w:r>
      <w:r>
        <w:rPr>
          <w:rFonts w:cs="Calibri"/>
        </w:rPr>
        <w:t>rdige Rechte von Lehrerinnen und Lehrern,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lern, Erziehungsberechtigten oder weiteren Personen eingegriffen wird,</w:t>
      </w:r>
    </w:p>
    <w:p w14:paraId="32A979F1" w14:textId="77777777" w:rsidR="00C95DE0" w:rsidRDefault="00C95DE0">
      <w:pPr>
        <w:pStyle w:val="RVfliesstext175nb"/>
        <w:widowControl/>
      </w:pPr>
      <w:r>
        <w:rPr>
          <w:rFonts w:cs="Calibri"/>
        </w:rPr>
        <w:t>3.1.5 wenn die Anonymit</w:t>
      </w:r>
      <w:r>
        <w:rPr>
          <w:rFonts w:cs="Calibri"/>
        </w:rPr>
        <w:t>ä</w:t>
      </w:r>
      <w:r>
        <w:rPr>
          <w:rFonts w:cs="Calibri"/>
        </w:rPr>
        <w:t>t der Betroffenen gewahrt bleibt; bei Einsatz von Frageb</w:t>
      </w:r>
      <w:r>
        <w:rPr>
          <w:rFonts w:cs="Calibri"/>
        </w:rPr>
        <w:t>ö</w:t>
      </w:r>
      <w:r>
        <w:rPr>
          <w:rFonts w:cs="Calibri"/>
        </w:rPr>
        <w:t>gen muss deren R</w:t>
      </w:r>
      <w:r>
        <w:rPr>
          <w:rFonts w:cs="Calibri"/>
        </w:rPr>
        <w:t>ü</w:t>
      </w:r>
      <w:r>
        <w:rPr>
          <w:rFonts w:cs="Calibri"/>
        </w:rPr>
        <w:t>ckgabe in verschlossenen Briefumschl</w:t>
      </w:r>
      <w:r>
        <w:rPr>
          <w:rFonts w:cs="Calibri"/>
        </w:rPr>
        <w:t>ä</w:t>
      </w:r>
      <w:r>
        <w:rPr>
          <w:rFonts w:cs="Calibri"/>
        </w:rPr>
        <w:t>gen erfolgen;</w:t>
      </w:r>
    </w:p>
    <w:p w14:paraId="2AB7D41D" w14:textId="77777777" w:rsidR="00C95DE0" w:rsidRDefault="00C95DE0">
      <w:pPr>
        <w:pStyle w:val="RVfliesstext175nb"/>
        <w:widowControl/>
      </w:pPr>
      <w:r>
        <w:rPr>
          <w:rFonts w:cs="Calibri"/>
        </w:rPr>
        <w:t>3.1.6 wenn Namen und Anschriften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und deren Erziehungsberechtigten nicht gefordert werden,</w:t>
      </w:r>
    </w:p>
    <w:p w14:paraId="695133E6" w14:textId="77777777" w:rsidR="00C95DE0" w:rsidRDefault="00C95DE0">
      <w:pPr>
        <w:pStyle w:val="RVfliesstext175nb"/>
        <w:widowControl/>
      </w:pPr>
      <w:r>
        <w:rPr>
          <w:rFonts w:cs="Calibri"/>
        </w:rPr>
        <w:t>3.1.7 wenn die Eltern der betroffenen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sich auf der Grundlage umfassender Informationen </w:t>
      </w:r>
      <w:r>
        <w:rPr>
          <w:rFonts w:cs="Calibri"/>
        </w:rPr>
        <w:t>ü</w:t>
      </w:r>
      <w:r>
        <w:rPr>
          <w:rFonts w:cs="Calibri"/>
        </w:rPr>
        <w:t>ber das Vorhaben schriftlich einverstanden erkl</w:t>
      </w:r>
      <w:r>
        <w:rPr>
          <w:rFonts w:cs="Calibri"/>
        </w:rPr>
        <w:t>ä</w:t>
      </w:r>
      <w:r>
        <w:rPr>
          <w:rFonts w:cs="Calibri"/>
        </w:rPr>
        <w:t>rt haben und zuvor auf die Freiwilligkeit der Teilnahme hingewiesen wurden.</w:t>
      </w:r>
    </w:p>
    <w:p w14:paraId="6B40F6D0" w14:textId="77777777" w:rsidR="00C95DE0" w:rsidRDefault="00C95DE0">
      <w:pPr>
        <w:pStyle w:val="RVfliesstext175nb"/>
        <w:widowControl/>
      </w:pPr>
      <w:r>
        <w:rPr>
          <w:rFonts w:cs="Calibri"/>
        </w:rPr>
        <w:t>3.2 Die Zustimmung ist zu versagen,</w:t>
      </w:r>
    </w:p>
    <w:p w14:paraId="364977DC" w14:textId="77777777" w:rsidR="00C95DE0" w:rsidRDefault="00C95DE0">
      <w:pPr>
        <w:pStyle w:val="RVfliesstext175nb"/>
        <w:widowControl/>
      </w:pPr>
      <w:r>
        <w:rPr>
          <w:rFonts w:cs="Calibri"/>
        </w:rPr>
        <w:t>3.2.1 wenn die Untersuchungen oder Befragungen von suggestivem Inhalt sind oder Werbecharakter haben,</w:t>
      </w:r>
    </w:p>
    <w:p w14:paraId="3B87F4C9" w14:textId="77777777" w:rsidR="00C95DE0" w:rsidRDefault="00C95DE0">
      <w:pPr>
        <w:pStyle w:val="RVfliesstext175nb"/>
        <w:widowControl/>
      </w:pPr>
      <w:r>
        <w:rPr>
          <w:rFonts w:cs="Calibri"/>
        </w:rPr>
        <w:t>3.2.2 wenn die Schule nur als Organisationshilfe zum Erreichen einer Zielgruppe benutzt wird und die Themenstellung des Vorhabens eine Mitwirkung der Schule von der Sache her nicht erfordert.</w:t>
      </w:r>
    </w:p>
    <w:p w14:paraId="69C68FE5" w14:textId="77777777" w:rsidR="00C95DE0" w:rsidRDefault="00C95DE0">
      <w:pPr>
        <w:pStyle w:val="RVueberschrift285fz"/>
        <w:keepNext/>
        <w:keepLines/>
      </w:pPr>
      <w:r>
        <w:rPr>
          <w:rFonts w:cs="Calibri"/>
        </w:rPr>
        <w:t>II.</w:t>
      </w:r>
    </w:p>
    <w:p w14:paraId="018B2BF9" w14:textId="77777777" w:rsidR="00C95DE0" w:rsidRDefault="00C95DE0">
      <w:pPr>
        <w:pStyle w:val="RVfliesstext175nb"/>
        <w:widowControl/>
      </w:pPr>
      <w:r>
        <w:rPr>
          <w:rFonts w:cs="Calibri"/>
        </w:rPr>
        <w:t>Es wird darauf hingewiesen, dass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7" w:history="1">
        <w:r>
          <w:rPr>
            <w:rFonts w:cs="Calibri"/>
          </w:rPr>
          <w:t xml:space="preserve">§ 120 Absatz 7 Schulgesetz </w:t>
        </w:r>
      </w:hyperlink>
      <w:r>
        <w:t xml:space="preserve">NRW </w:t>
      </w:r>
      <w:r>
        <w:rPr>
          <w:rFonts w:cs="Calibri"/>
        </w:rPr>
        <w:t xml:space="preserve">(SchulG - BASS 1-1) die </w:t>
      </w:r>
      <w:r>
        <w:rPr>
          <w:rFonts w:cs="Calibri"/>
        </w:rPr>
        <w:t>Ü</w:t>
      </w:r>
      <w:r>
        <w:rPr>
          <w:rFonts w:cs="Calibri"/>
        </w:rPr>
        <w:t>bermittlung von personenbezogenen Daten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sowie der Erziehungsberechtigten nur zul</w:t>
      </w:r>
      <w:r>
        <w:rPr>
          <w:rFonts w:cs="Calibri"/>
        </w:rPr>
        <w:t>ä</w:t>
      </w:r>
      <w:r>
        <w:rPr>
          <w:rFonts w:cs="Calibri"/>
        </w:rPr>
        <w:t>ssig ist, wenn ein rechtlicher Anspruch auf die Bekanntgabe der Daten besteht und schutzw</w:t>
      </w:r>
      <w:r>
        <w:rPr>
          <w:rFonts w:cs="Calibri"/>
        </w:rPr>
        <w:t>ü</w:t>
      </w:r>
      <w:r>
        <w:rPr>
          <w:rFonts w:cs="Calibri"/>
        </w:rPr>
        <w:t>rdige Belange der Betroffenen nicht beeintr</w:t>
      </w:r>
      <w:r>
        <w:rPr>
          <w:rFonts w:cs="Calibri"/>
        </w:rPr>
        <w:t>ä</w:t>
      </w:r>
      <w:r>
        <w:rPr>
          <w:rFonts w:cs="Calibri"/>
        </w:rPr>
        <w:t>chtigt werden oder wenn die Betroffenen im Einzelfall eingewilligt haben.</w:t>
      </w:r>
    </w:p>
    <w:p w14:paraId="53229286" w14:textId="77777777" w:rsidR="00C95DE0" w:rsidRDefault="00C95DE0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Ein Rechtsanspruch auf </w:t>
      </w:r>
      <w:r>
        <w:rPr>
          <w:rFonts w:cs="Calibri"/>
        </w:rPr>
        <w:t>Ü</w:t>
      </w:r>
      <w:r>
        <w:rPr>
          <w:rFonts w:cs="Calibri"/>
        </w:rPr>
        <w:t xml:space="preserve">bermittlung von Daten ergibt sich nicht aus der sog. </w:t>
      </w:r>
      <w:r>
        <w:rPr>
          <w:rFonts w:cs="Calibri"/>
        </w:rPr>
        <w:t>„</w:t>
      </w:r>
      <w:r>
        <w:rPr>
          <w:rFonts w:cs="Calibri"/>
        </w:rPr>
        <w:t>Forschungsklausel</w:t>
      </w:r>
      <w:r>
        <w:rPr>
          <w:rFonts w:cs="Calibri"/>
        </w:rPr>
        <w:t>“</w:t>
      </w:r>
      <w:r>
        <w:rPr>
          <w:rFonts w:cs="Calibri"/>
        </w:rPr>
        <w:t xml:space="preserve"> in </w:t>
      </w:r>
      <w:r>
        <w:rPr>
          <w:rFonts w:cs="Calibri"/>
        </w:rPr>
        <w:t>§</w:t>
      </w:r>
      <w:r>
        <w:rPr>
          <w:rFonts w:cs="Calibri"/>
        </w:rPr>
        <w:t xml:space="preserve"> 17 </w:t>
      </w:r>
      <w:hyperlink r:id="rId8" w:history="1">
        <w:r>
          <w:rPr>
            <w:rFonts w:cs="Calibri"/>
          </w:rPr>
          <w:t>DSG NW</w:t>
        </w:r>
      </w:hyperlink>
      <w:r>
        <w:t>. Die allgemeine Regelung dieses Paragraphen gelangt nur zur Anwendung, soweit nicht bereichsspezifische gesetzliche Regelungen - wie f</w:t>
      </w:r>
      <w:r>
        <w:t>ü</w:t>
      </w:r>
      <w:r>
        <w:t xml:space="preserve">r den Schulbereich z.B. </w:t>
      </w:r>
      <w:hyperlink w:anchor="https://bass.schul-welt.de/6043.htm#1-1p120" w:history="1">
        <w:r>
          <w:t xml:space="preserve">§§ 120 ff. </w:t>
        </w:r>
      </w:hyperlink>
      <w:r>
        <w:rPr>
          <w:rFonts w:cs="Calibri"/>
        </w:rPr>
        <w:t>SchulG</w:t>
      </w:r>
      <w:r>
        <w:t xml:space="preserve"> - vorhanden sind.</w:t>
      </w:r>
    </w:p>
    <w:p w14:paraId="705BF8D1" w14:textId="77777777" w:rsidR="00C95DE0" w:rsidRDefault="00C95DE0">
      <w:pPr>
        <w:pStyle w:val="RVfliesstext175nb"/>
        <w:widowControl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531E8" w14:textId="77777777" w:rsidR="00C95DE0" w:rsidRDefault="00C95DE0">
      <w:pPr>
        <w:widowControl/>
      </w:pPr>
      <w:r>
        <w:rPr>
          <w:rFonts w:cs="Calibri"/>
        </w:rPr>
        <w:separator/>
      </w:r>
    </w:p>
  </w:endnote>
  <w:endnote w:type="continuationSeparator" w:id="0">
    <w:p w14:paraId="6BB5F8A6" w14:textId="77777777" w:rsidR="00C95DE0" w:rsidRDefault="00C95DE0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1F6F4" w14:textId="77777777" w:rsidR="00C95DE0" w:rsidRDefault="00C95DE0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15227" w14:textId="77777777" w:rsidR="00C95DE0" w:rsidRDefault="00C95DE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8ED6CAC" w14:textId="77777777" w:rsidR="00C95DE0" w:rsidRDefault="00C95DE0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6D45EB07" w14:textId="77777777" w:rsidR="00C95DE0" w:rsidRDefault="00C95DE0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Bereinigt</w:t>
      </w:r>
      <w:r>
        <w:t>.</w:t>
      </w:r>
      <w:r>
        <w:rPr>
          <w:rFonts w:cs="Arial"/>
        </w:rPr>
        <w:t xml:space="preserve"> Eingearbeitet</w:t>
      </w:r>
      <w:r>
        <w:t>:</w:t>
      </w:r>
      <w:r>
        <w:rPr>
          <w:rFonts w:cs="Arial"/>
        </w:rPr>
        <w:t xml:space="preserve"> </w:t>
      </w:r>
      <w:r>
        <w:rPr>
          <w:rFonts w:cs="Arial"/>
        </w:rPr>
        <w:br/>
        <w:t>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27</w:t>
      </w:r>
      <w:r>
        <w:t>.</w:t>
      </w:r>
      <w:r>
        <w:rPr>
          <w:rFonts w:cs="Arial"/>
        </w:rPr>
        <w:t>06</w:t>
      </w:r>
      <w:r>
        <w:t>.</w:t>
      </w:r>
      <w:r>
        <w:rPr>
          <w:rFonts w:cs="Arial"/>
        </w:rPr>
        <w:t xml:space="preserve">2003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232</w:t>
      </w:r>
      <w:r>
        <w:t>)</w:t>
      </w:r>
      <w:r>
        <w:rPr>
          <w:rFonts w:cs="Arial"/>
        </w:rPr>
        <w:t>;</w:t>
      </w:r>
      <w:r>
        <w:t xml:space="preserve"> 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20</w:t>
      </w:r>
      <w:r>
        <w:rPr>
          <w:rFonts w:cs="Arial"/>
        </w:rPr>
        <w:t>.</w:t>
      </w:r>
      <w:r>
        <w:t>06</w:t>
      </w:r>
      <w:r>
        <w:rPr>
          <w:rFonts w:cs="Arial"/>
        </w:rPr>
        <w:t>.</w:t>
      </w:r>
      <w:r>
        <w:t xml:space="preserve">1997 </w:t>
      </w:r>
      <w:r>
        <w:rPr>
          <w:rFonts w:cs="Arial"/>
        </w:rPr>
        <w:t>(</w:t>
      </w:r>
      <w:r>
        <w:t>GABl</w:t>
      </w:r>
      <w:r>
        <w:rPr>
          <w:rFonts w:cs="Arial"/>
        </w:rPr>
        <w:t>.</w:t>
      </w:r>
      <w:r>
        <w:t xml:space="preserve"> NW</w:t>
      </w:r>
      <w:r>
        <w:rPr>
          <w:rFonts w:cs="Arial"/>
        </w:rPr>
        <w:t>.</w:t>
      </w:r>
      <w:r>
        <w:t xml:space="preserve"> I S</w:t>
      </w:r>
      <w:r>
        <w:rPr>
          <w:rFonts w:cs="Arial"/>
        </w:rPr>
        <w:t>.</w:t>
      </w:r>
      <w:r>
        <w:t xml:space="preserve"> 170</w:t>
      </w:r>
      <w:r>
        <w:rPr>
          <w:rFonts w:cs="Aria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2CC5"/>
    <w:rsid w:val="00652CC5"/>
    <w:rsid w:val="00A339FA"/>
    <w:rsid w:val="00C9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524B3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nfudfnote">
    <w:name w:val="Tabellenfußdf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exact"/>
      <w:ind w:left="568" w:right="283" w:hanging="285"/>
    </w:pPr>
    <w:rPr>
      <w:rFonts w:ascii="Times New Roman" w:hAnsi="Times New Roman"/>
      <w:color w:val="000000"/>
      <w:szCs w:val="24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3520071121100436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#1-1p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2024-09-10T02:07:00Z</dcterms:created>
  <dcterms:modified xsi:type="dcterms:W3CDTF">2024-09-10T02:07:00Z</dcterms:modified>
</cp:coreProperties>
</file>