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EBC00" w14:textId="77777777" w:rsidR="00C87932" w:rsidRDefault="00C87932">
      <w:pPr>
        <w:pStyle w:val="Bass-Nr"/>
        <w:keepNext/>
        <w:rPr>
          <w:rFonts w:cs="Calibri"/>
        </w:rPr>
      </w:pPr>
      <w:r>
        <w:t>21-04 Nr. 1</w:t>
      </w:r>
    </w:p>
    <w:p w14:paraId="74DF2071" w14:textId="77777777" w:rsidR="00C87932" w:rsidRDefault="00C87932">
      <w:pPr>
        <w:pStyle w:val="RVueberschrift1100fz"/>
        <w:keepNext/>
        <w:keepLines/>
        <w:rPr>
          <w:rFonts w:cs="Calibri"/>
        </w:rPr>
      </w:pPr>
      <w:r>
        <w:t>Dienstunfallf</w:t>
      </w:r>
      <w:r>
        <w:t>ü</w:t>
      </w:r>
      <w:r>
        <w:t xml:space="preserve">rsorge </w:t>
      </w:r>
      <w:r>
        <w:br/>
        <w:t>f</w:t>
      </w:r>
      <w:r>
        <w:t>ü</w:t>
      </w:r>
      <w:r>
        <w:t>r Lehrkr</w:t>
      </w:r>
      <w:r>
        <w:t>ä</w:t>
      </w:r>
      <w:r>
        <w:t>fte</w:t>
      </w:r>
    </w:p>
    <w:p w14:paraId="2EEC8417" w14:textId="77777777" w:rsidR="00C87932" w:rsidRDefault="00C87932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29</w:t>
      </w:r>
      <w:r>
        <w:rPr>
          <w:rFonts w:cs="Calibri"/>
        </w:rPr>
        <w:t>.</w:t>
      </w:r>
      <w:r>
        <w:t>12</w:t>
      </w:r>
      <w:r>
        <w:rPr>
          <w:rFonts w:cs="Calibri"/>
        </w:rPr>
        <w:t>.</w:t>
      </w:r>
      <w:r>
        <w:t xml:space="preserve">1983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1984 S</w:t>
      </w:r>
      <w:r>
        <w:rPr>
          <w:rFonts w:cs="Calibri"/>
        </w:rPr>
        <w:t>.</w:t>
      </w:r>
      <w:r>
        <w:t xml:space="preserve"> 72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429435B4" w14:textId="77777777" w:rsidR="00C87932" w:rsidRDefault="00C87932">
      <w:pPr>
        <w:pStyle w:val="RVfliesstext175nb"/>
        <w:widowControl/>
      </w:pPr>
      <w:r>
        <w:t>Zur Dienstunfallf</w:t>
      </w:r>
      <w:r>
        <w:t>ü</w:t>
      </w:r>
      <w:r>
        <w:t>rsorge f</w:t>
      </w:r>
      <w:r>
        <w:t>ü</w:t>
      </w:r>
      <w:r>
        <w:t>r Lehrkr</w:t>
      </w:r>
      <w:r>
        <w:t>ä</w:t>
      </w:r>
      <w:r>
        <w:t>fte (</w:t>
      </w:r>
      <w:r>
        <w:t>§§</w:t>
      </w:r>
      <w:r>
        <w:t xml:space="preserve"> 35 ff. Landesbeamtenversorgungsgesetz - </w:t>
      </w:r>
      <w:hyperlink r:id="rId7" w:history="1">
        <w:r>
          <w:t>LBeamtVG NRW</w:t>
        </w:r>
      </w:hyperlink>
      <w:r>
        <w:rPr>
          <w:rFonts w:cs="Arial"/>
        </w:rPr>
        <w:t>) werden folgende Hinweise gegeben:</w:t>
      </w:r>
    </w:p>
    <w:p w14:paraId="4ADD21F1" w14:textId="77777777" w:rsidR="00C87932" w:rsidRDefault="00C87932">
      <w:pPr>
        <w:pStyle w:val="RVueberschrift285fz"/>
        <w:keepNext/>
        <w:keepLines/>
      </w:pPr>
      <w:r>
        <w:rPr>
          <w:rFonts w:cs="Arial"/>
        </w:rPr>
        <w:t xml:space="preserve">1 Besuche bei Erziehungsberechtigten, </w:t>
      </w:r>
      <w:r>
        <w:rPr>
          <w:rFonts w:cs="Arial"/>
        </w:rPr>
        <w:br/>
        <w:t xml:space="preserve">Ausbildungsbetrieben, </w:t>
      </w:r>
      <w:r>
        <w:rPr>
          <w:rFonts w:cs="Arial"/>
        </w:rPr>
        <w:br/>
        <w:t>Schulaufsichtsbeh</w:t>
      </w:r>
      <w:r>
        <w:rPr>
          <w:rFonts w:cs="Arial"/>
        </w:rPr>
        <w:t>ö</w:t>
      </w:r>
      <w:r>
        <w:rPr>
          <w:rFonts w:cs="Arial"/>
        </w:rPr>
        <w:t>rden und Schulberatungsstellen</w:t>
      </w:r>
    </w:p>
    <w:p w14:paraId="206BF571" w14:textId="77777777" w:rsidR="00C87932" w:rsidRDefault="00C87932">
      <w:pPr>
        <w:pStyle w:val="RVfliesstext175nb"/>
        <w:widowControl/>
      </w:pPr>
      <w:r>
        <w:rPr>
          <w:rFonts w:cs="Arial"/>
        </w:rPr>
        <w:t>Dienstunfallschutz besteht, soweit die Besuche aus schulisch-dienstlichen Gr</w:t>
      </w:r>
      <w:r>
        <w:rPr>
          <w:rFonts w:cs="Arial"/>
        </w:rPr>
        <w:t>ü</w:t>
      </w:r>
      <w:r>
        <w:rPr>
          <w:rFonts w:cs="Arial"/>
        </w:rPr>
        <w:t>nden notwendig sind.</w:t>
      </w:r>
    </w:p>
    <w:p w14:paraId="68B3B030" w14:textId="77777777" w:rsidR="00C87932" w:rsidRDefault="00C87932">
      <w:pPr>
        <w:pStyle w:val="RVfliesstext175nb"/>
        <w:widowControl/>
      </w:pPr>
      <w:r>
        <w:rPr>
          <w:rFonts w:cs="Arial"/>
        </w:rPr>
        <w:t>Es dient der Beweissicherung, wenn die Schulleiterin oder der Schulleiter zuvor die Notwendigkeit aus Sicht der Schulleitung pr</w:t>
      </w:r>
      <w:r>
        <w:rPr>
          <w:rFonts w:cs="Arial"/>
        </w:rPr>
        <w:t>ü</w:t>
      </w:r>
      <w:r>
        <w:rPr>
          <w:rFonts w:cs="Arial"/>
        </w:rPr>
        <w:t>ft und das Ergebnis schriftlich festh</w:t>
      </w:r>
      <w:r>
        <w:rPr>
          <w:rFonts w:cs="Arial"/>
        </w:rPr>
        <w:t>ä</w:t>
      </w:r>
      <w:r>
        <w:rPr>
          <w:rFonts w:cs="Arial"/>
        </w:rPr>
        <w:t>lt.</w:t>
      </w:r>
    </w:p>
    <w:p w14:paraId="507B0DDC" w14:textId="77777777" w:rsidR="00C87932" w:rsidRDefault="00C87932">
      <w:pPr>
        <w:pStyle w:val="RVueberschrift285fz"/>
        <w:keepNext/>
        <w:keepLines/>
      </w:pPr>
      <w:r>
        <w:rPr>
          <w:rFonts w:cs="Arial"/>
        </w:rPr>
        <w:t xml:space="preserve">2 Besorgung von Film- und Bildmaterialien bei Bildstellen </w:t>
      </w:r>
      <w:r>
        <w:rPr>
          <w:rFonts w:cs="Arial"/>
        </w:rPr>
        <w:br/>
        <w:t>und Eink</w:t>
      </w:r>
      <w:r>
        <w:rPr>
          <w:rFonts w:cs="Arial"/>
        </w:rPr>
        <w:t>ä</w:t>
      </w:r>
      <w:r>
        <w:rPr>
          <w:rFonts w:cs="Arial"/>
        </w:rPr>
        <w:t>ufe von Unterrichtsmaterialien</w:t>
      </w:r>
    </w:p>
    <w:p w14:paraId="1BCF8465" w14:textId="77777777" w:rsidR="00C87932" w:rsidRDefault="00C87932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Nach </w:t>
      </w:r>
      <w:hyperlink w:anchor="https://bass.schul-welt.de/6043.htm#1-1p79" w:history="1">
        <w:r>
          <w:rPr>
            <w:rFonts w:cs="Arial"/>
          </w:rPr>
          <w:t>§ 79 Schulgesetz</w:t>
        </w:r>
      </w:hyperlink>
      <w:r>
        <w:t xml:space="preserve"> (SchulG - BASS 1-1) ist es Sache des Schultr</w:t>
      </w:r>
      <w:r>
        <w:t>ä</w:t>
      </w:r>
      <w:r>
        <w:t>gers, die f</w:t>
      </w:r>
      <w:r>
        <w:t>ü</w:t>
      </w:r>
      <w:r>
        <w:t>r einen ordnungsgem</w:t>
      </w:r>
      <w:r>
        <w:t>äß</w:t>
      </w:r>
      <w:r>
        <w:t>en Unterricht erforderlichen Lehrmittel bereitzustellen. Wenn Lehrkr</w:t>
      </w:r>
      <w:r>
        <w:t>ä</w:t>
      </w:r>
      <w:r>
        <w:t>fte an seiner Stelle Besorgungen und Eink</w:t>
      </w:r>
      <w:r>
        <w:t>ä</w:t>
      </w:r>
      <w:r>
        <w:t xml:space="preserve">ufe </w:t>
      </w:r>
      <w:r>
        <w:t>ü</w:t>
      </w:r>
      <w:r>
        <w:t>bernehmen, genie</w:t>
      </w:r>
      <w:r>
        <w:t>ß</w:t>
      </w:r>
      <w:r>
        <w:t>en sie deshalb nur unter bestimmten Voraussetzungen beamtenrechtlichen Dienstunfallschutz. Das ist der Fall, wenn der Schultr</w:t>
      </w:r>
      <w:r>
        <w:t>ä</w:t>
      </w:r>
      <w:r>
        <w:t>ger nicht oder nur unter erheblichen Schwierigkeiten in der Lage ist, seine Verpflichtung (rechtzeitig) zu erf</w:t>
      </w:r>
      <w:r>
        <w:t>ü</w:t>
      </w:r>
      <w:r>
        <w:t>llen, die Lehrmittel aber dringend ben</w:t>
      </w:r>
      <w:r>
        <w:t>ö</w:t>
      </w:r>
      <w:r>
        <w:t>tigt werden, um einen ordnungsgem</w:t>
      </w:r>
      <w:r>
        <w:t>äß</w:t>
      </w:r>
      <w:r>
        <w:t>en Unterricht durchf</w:t>
      </w:r>
      <w:r>
        <w:t>ü</w:t>
      </w:r>
      <w:r>
        <w:t>hren zu k</w:t>
      </w:r>
      <w:r>
        <w:t>ö</w:t>
      </w:r>
      <w:r>
        <w:t>nnen, oder wenn die Erledigung die besondere Sachkunde der Lehrkraft voraussetzt. Hinsichtlich der Beweissicherung gilt Nummer 1 entsprechend.</w:t>
      </w:r>
    </w:p>
    <w:p w14:paraId="0316D782" w14:textId="77777777" w:rsidR="00C87932" w:rsidRDefault="00C87932">
      <w:pPr>
        <w:pStyle w:val="RVueberschrift285fz"/>
        <w:keepNext/>
        <w:keepLines/>
        <w:rPr>
          <w:rFonts w:cs="Arial"/>
        </w:rPr>
      </w:pPr>
      <w:r>
        <w:t>3 Au</w:t>
      </w:r>
      <w:r>
        <w:t>ß</w:t>
      </w:r>
      <w:r>
        <w:t>erunterrichtliche schulische Veranstaltungen</w:t>
      </w:r>
    </w:p>
    <w:p w14:paraId="1E564E46" w14:textId="77777777" w:rsidR="00C87932" w:rsidRDefault="00C87932">
      <w:pPr>
        <w:pStyle w:val="RVfliesstext175nb"/>
        <w:widowControl/>
        <w:rPr>
          <w:rFonts w:cs="Arial"/>
        </w:rPr>
      </w:pPr>
      <w:r>
        <w:t>3.1 Die Teilnahme einer Lehrkraft an au</w:t>
      </w:r>
      <w:r>
        <w:t>ß</w:t>
      </w:r>
      <w:r>
        <w:t>erunterrichtlichen schulischen Veranstaltungen ist dienstunfallrechtlich gesch</w:t>
      </w:r>
      <w:r>
        <w:t>ü</w:t>
      </w:r>
      <w:r>
        <w:t>tzt, soweit sie (z.B. aus Gr</w:t>
      </w:r>
      <w:r>
        <w:t>ü</w:t>
      </w:r>
      <w:r>
        <w:t>nden der Aufsichtspflicht) dienstlich geboten ist. Hinsichtlich der Beweissicherung gilt Nummer 1 entsprechend.</w:t>
      </w:r>
    </w:p>
    <w:p w14:paraId="7005A82C" w14:textId="77777777" w:rsidR="00C87932" w:rsidRDefault="00C87932">
      <w:pPr>
        <w:pStyle w:val="RVfliesstext175nb"/>
        <w:widowControl/>
      </w:pPr>
      <w:r>
        <w:t>3.2 Sofern Schulgottesdienste auf Veranlassung der Schule stattfinden, sind sie dienstliche Veranstaltungen. Unf</w:t>
      </w:r>
      <w:r>
        <w:t>ä</w:t>
      </w:r>
      <w:r>
        <w:t>lle, die Lehrkr</w:t>
      </w:r>
      <w:r>
        <w:t>ä</w:t>
      </w:r>
      <w:r>
        <w:t>fte auf dem Weg zum und vom Schulgottesdienst und w</w:t>
      </w:r>
      <w:r>
        <w:t>ä</w:t>
      </w:r>
      <w:r>
        <w:t>hrend der Teilnahme erleiden, sind daher Dienstunf</w:t>
      </w:r>
      <w:r>
        <w:t>ä</w:t>
      </w:r>
      <w:r>
        <w:t xml:space="preserve">lle im Sinne des </w:t>
      </w:r>
      <w:r>
        <w:t>§</w:t>
      </w:r>
      <w:r>
        <w:t xml:space="preserve"> 36 </w:t>
      </w:r>
      <w:hyperlink r:id="rId8" w:history="1">
        <w:r>
          <w:t>LBeamtVG NRW</w:t>
        </w:r>
      </w:hyperlink>
      <w:r>
        <w:rPr>
          <w:rFonts w:cs="Arial"/>
        </w:rPr>
        <w:t>.</w:t>
      </w:r>
    </w:p>
    <w:p w14:paraId="2411A18A" w14:textId="77777777" w:rsidR="00C87932" w:rsidRDefault="00C87932">
      <w:pPr>
        <w:pStyle w:val="RVfliesstext175nb"/>
        <w:widowControl/>
        <w:rPr>
          <w:rFonts w:cs="Arial"/>
        </w:rPr>
      </w:pPr>
      <w:r>
        <w:rPr>
          <w:rFonts w:cs="Arial"/>
        </w:rPr>
        <w:t>3.3 Die Vorbereitung von und Teilnahme an schulischen Veranstaltungen im Rahmen des au</w:t>
      </w:r>
      <w:r>
        <w:rPr>
          <w:rFonts w:cs="Arial"/>
        </w:rPr>
        <w:t>ß</w:t>
      </w:r>
      <w:r>
        <w:rPr>
          <w:rFonts w:cs="Arial"/>
        </w:rPr>
        <w:t>erunterrichtlichen Schulsports (z.B. Bundesjugendspiele, Sporttage, schulsportliche Wettk</w:t>
      </w:r>
      <w:r>
        <w:rPr>
          <w:rFonts w:cs="Arial"/>
        </w:rPr>
        <w:t>ä</w:t>
      </w:r>
      <w:r>
        <w:rPr>
          <w:rFonts w:cs="Arial"/>
        </w:rPr>
        <w:t>mpfe u.</w:t>
      </w:r>
      <w:r>
        <w:rPr>
          <w:rFonts w:cs="Arial"/>
        </w:rPr>
        <w:t>ä</w:t>
      </w:r>
      <w:r>
        <w:rPr>
          <w:rFonts w:cs="Arial"/>
        </w:rPr>
        <w:t xml:space="preserve">.) ist gleichfalls Dienst im Sinne des </w:t>
      </w:r>
      <w:r>
        <w:rPr>
          <w:rFonts w:cs="Arial"/>
        </w:rPr>
        <w:t>§</w:t>
      </w:r>
      <w:r>
        <w:rPr>
          <w:rFonts w:cs="Arial"/>
        </w:rPr>
        <w:t xml:space="preserve"> 36 </w:t>
      </w:r>
      <w:hyperlink r:id="rId9" w:history="1">
        <w:r>
          <w:rPr>
            <w:rFonts w:cs="Arial"/>
          </w:rPr>
          <w:t>LBeamtVG NRW</w:t>
        </w:r>
      </w:hyperlink>
      <w:r>
        <w:t>.</w:t>
      </w:r>
    </w:p>
    <w:p w14:paraId="536EE0DB" w14:textId="77777777" w:rsidR="00C87932" w:rsidRDefault="00C87932">
      <w:pPr>
        <w:pStyle w:val="RVueberschrift285fz"/>
        <w:keepNext/>
        <w:keepLines/>
        <w:rPr>
          <w:rFonts w:cs="Arial"/>
        </w:rPr>
      </w:pPr>
      <w:r>
        <w:t>4 Lehrg</w:t>
      </w:r>
      <w:r>
        <w:t>ä</w:t>
      </w:r>
      <w:r>
        <w:t>nge, Tagungen, Arbeitsgemeinschaften im Sport</w:t>
      </w:r>
    </w:p>
    <w:p w14:paraId="5FB51476" w14:textId="77777777" w:rsidR="00C87932" w:rsidRDefault="00C87932">
      <w:pPr>
        <w:pStyle w:val="RVfliesstext175nb"/>
        <w:widowControl/>
      </w:pPr>
      <w:r>
        <w:t>Die Teilnahme an Lehrg</w:t>
      </w:r>
      <w:r>
        <w:t>ä</w:t>
      </w:r>
      <w:r>
        <w:t>ngen, Tagungen, Arbeitsgemeinschaften u.</w:t>
      </w:r>
      <w:r>
        <w:t>ä</w:t>
      </w:r>
      <w:r>
        <w:t xml:space="preserve">. im Sport gilt als Dienst im Sinne des </w:t>
      </w:r>
      <w:r>
        <w:t>§</w:t>
      </w:r>
      <w:r>
        <w:t xml:space="preserve"> 36 </w:t>
      </w:r>
      <w:hyperlink r:id="rId10" w:history="1">
        <w:r>
          <w:t>LBeamtVG NRW</w:t>
        </w:r>
      </w:hyperlink>
      <w:r>
        <w:rPr>
          <w:rFonts w:cs="Arial"/>
        </w:rPr>
        <w:t>, wenn die Veranstaltungen von einer Schulaufsichtsbeh</w:t>
      </w:r>
      <w:r>
        <w:rPr>
          <w:rFonts w:cs="Arial"/>
        </w:rPr>
        <w:t>ö</w:t>
      </w:r>
      <w:r>
        <w:rPr>
          <w:rFonts w:cs="Arial"/>
        </w:rPr>
        <w:t>rde genehmigt, veranlasst bzw. durchgef</w:t>
      </w:r>
      <w:r>
        <w:rPr>
          <w:rFonts w:cs="Arial"/>
        </w:rPr>
        <w:t>ü</w:t>
      </w:r>
      <w:r>
        <w:rPr>
          <w:rFonts w:cs="Arial"/>
        </w:rPr>
        <w:t>hrt werden und die Lehrkr</w:t>
      </w:r>
      <w:r>
        <w:rPr>
          <w:rFonts w:cs="Arial"/>
        </w:rPr>
        <w:t>ä</w:t>
      </w:r>
      <w:r>
        <w:rPr>
          <w:rFonts w:cs="Arial"/>
        </w:rPr>
        <w:t>fte dienstlich zur Teilnahme aufgefordert wurden bzw. ihnen die Gelegenheit zur Teilnahme dienstlich angeboten wurde. Dienstunfallschutz besteht in diesen F</w:t>
      </w:r>
      <w:r>
        <w:rPr>
          <w:rFonts w:cs="Arial"/>
        </w:rPr>
        <w:t>ä</w:t>
      </w:r>
      <w:r>
        <w:rPr>
          <w:rFonts w:cs="Arial"/>
        </w:rPr>
        <w:t>llen unabh</w:t>
      </w:r>
      <w:r>
        <w:rPr>
          <w:rFonts w:cs="Arial"/>
        </w:rPr>
        <w:t>ä</w:t>
      </w:r>
      <w:r>
        <w:rPr>
          <w:rFonts w:cs="Arial"/>
        </w:rPr>
        <w:t>ngig davon, ob die betreffende Lehrkraft die Lehrbef</w:t>
      </w:r>
      <w:r>
        <w:rPr>
          <w:rFonts w:cs="Arial"/>
        </w:rPr>
        <w:t>ä</w:t>
      </w:r>
      <w:r>
        <w:rPr>
          <w:rFonts w:cs="Arial"/>
        </w:rPr>
        <w:t>higung f</w:t>
      </w:r>
      <w:r>
        <w:rPr>
          <w:rFonts w:cs="Arial"/>
        </w:rPr>
        <w:t>ü</w:t>
      </w:r>
      <w:r>
        <w:rPr>
          <w:rFonts w:cs="Arial"/>
        </w:rPr>
        <w:t>r Sport besitzt.</w:t>
      </w:r>
    </w:p>
    <w:p w14:paraId="40DEEA14" w14:textId="77777777" w:rsidR="00C87932" w:rsidRDefault="00C87932">
      <w:pPr>
        <w:pStyle w:val="RVueberschrift285fz"/>
        <w:keepNext/>
        <w:keepLines/>
      </w:pPr>
      <w:r>
        <w:rPr>
          <w:rFonts w:cs="Arial"/>
        </w:rPr>
        <w:t>5 Nebent</w:t>
      </w:r>
      <w:r>
        <w:rPr>
          <w:rFonts w:cs="Arial"/>
        </w:rPr>
        <w:t>ä</w:t>
      </w:r>
      <w:r>
        <w:rPr>
          <w:rFonts w:cs="Arial"/>
        </w:rPr>
        <w:t>tigkeit</w:t>
      </w:r>
    </w:p>
    <w:p w14:paraId="42C6DABB" w14:textId="77777777" w:rsidR="00C87932" w:rsidRDefault="00C87932">
      <w:pPr>
        <w:pStyle w:val="RVfliesstext175nb"/>
        <w:widowControl/>
      </w:pPr>
      <w:r>
        <w:rPr>
          <w:rFonts w:cs="Arial"/>
        </w:rPr>
        <w:t>Die Aus</w:t>
      </w:r>
      <w:r>
        <w:rPr>
          <w:rFonts w:cs="Arial"/>
        </w:rPr>
        <w:t>ü</w:t>
      </w:r>
      <w:r>
        <w:rPr>
          <w:rFonts w:cs="Arial"/>
        </w:rPr>
        <w:t>bung einer Nebent</w:t>
      </w:r>
      <w:r>
        <w:rPr>
          <w:rFonts w:cs="Arial"/>
        </w:rPr>
        <w:t>ä</w:t>
      </w:r>
      <w:r>
        <w:rPr>
          <w:rFonts w:cs="Arial"/>
        </w:rPr>
        <w:t>tigkeit ist Dienstaus</w:t>
      </w:r>
      <w:r>
        <w:rPr>
          <w:rFonts w:cs="Arial"/>
        </w:rPr>
        <w:t>ü</w:t>
      </w:r>
      <w:r>
        <w:rPr>
          <w:rFonts w:cs="Arial"/>
        </w:rPr>
        <w:t xml:space="preserve">bung im Sinne des </w:t>
      </w:r>
      <w:r>
        <w:rPr>
          <w:rFonts w:cs="Arial"/>
        </w:rPr>
        <w:t>§</w:t>
      </w:r>
      <w:r>
        <w:rPr>
          <w:rFonts w:cs="Arial"/>
        </w:rPr>
        <w:t xml:space="preserve"> 36 Absatz 1 Satz 1 </w:t>
      </w:r>
      <w:hyperlink r:id="rId11" w:history="1">
        <w:r>
          <w:rPr>
            <w:rFonts w:cs="Arial"/>
          </w:rPr>
          <w:t>LBeamtVG NRW</w:t>
        </w:r>
      </w:hyperlink>
      <w:r>
        <w:t>, wenn die Beamtin oder der Beamte die Nebent</w:t>
      </w:r>
      <w:r>
        <w:t>ä</w:t>
      </w:r>
      <w:r>
        <w:t xml:space="preserve">tigkeit im </w:t>
      </w:r>
      <w:r>
        <w:t>ö</w:t>
      </w:r>
      <w:r>
        <w:t>ffentlichen Dienst oder in dem ihm gleichstehenden Dienst (z.B. bei den zust</w:t>
      </w:r>
      <w:r>
        <w:t>ä</w:t>
      </w:r>
      <w:r>
        <w:t>ndigen Stellen nach dem Berufsbildungsgesetz/</w:t>
      </w:r>
      <w:hyperlink r:id="rId12" w:history="1">
        <w:r>
          <w:t>BBiG</w:t>
        </w:r>
      </w:hyperlink>
      <w:r>
        <w:rPr>
          <w:rFonts w:cs="Arial"/>
        </w:rPr>
        <w:t>) oder auf Verlangen, Vorschlag oder Veranlassung der Dienstvorgesetzten aus</w:t>
      </w:r>
      <w:r>
        <w:rPr>
          <w:rFonts w:cs="Arial"/>
        </w:rPr>
        <w:t>ü</w:t>
      </w:r>
      <w:r>
        <w:rPr>
          <w:rFonts w:cs="Arial"/>
        </w:rPr>
        <w:t>bt.</w:t>
      </w:r>
    </w:p>
    <w:p w14:paraId="61C20D20" w14:textId="77777777" w:rsidR="00C87932" w:rsidRDefault="00C87932">
      <w:pPr>
        <w:pStyle w:val="RVueberschrift285fz"/>
        <w:keepNext/>
        <w:keepLines/>
      </w:pPr>
      <w:r>
        <w:rPr>
          <w:rFonts w:cs="Arial"/>
        </w:rPr>
        <w:t>6 Vorbereitungslehrg</w:t>
      </w:r>
      <w:r>
        <w:rPr>
          <w:rFonts w:cs="Arial"/>
        </w:rPr>
        <w:t>ä</w:t>
      </w:r>
      <w:r>
        <w:rPr>
          <w:rFonts w:cs="Arial"/>
        </w:rPr>
        <w:t>nge f</w:t>
      </w:r>
      <w:r>
        <w:rPr>
          <w:rFonts w:cs="Arial"/>
        </w:rPr>
        <w:t>ü</w:t>
      </w:r>
      <w:r>
        <w:rPr>
          <w:rFonts w:cs="Arial"/>
        </w:rPr>
        <w:t>r k</w:t>
      </w:r>
      <w:r>
        <w:rPr>
          <w:rFonts w:cs="Arial"/>
        </w:rPr>
        <w:t>ü</w:t>
      </w:r>
      <w:r>
        <w:rPr>
          <w:rFonts w:cs="Arial"/>
        </w:rPr>
        <w:t>nftige Auslandslehrkr</w:t>
      </w:r>
      <w:r>
        <w:rPr>
          <w:rFonts w:cs="Arial"/>
        </w:rPr>
        <w:t>ä</w:t>
      </w:r>
      <w:r>
        <w:rPr>
          <w:rFonts w:cs="Arial"/>
        </w:rPr>
        <w:t>fte</w:t>
      </w:r>
    </w:p>
    <w:p w14:paraId="6C7E729E" w14:textId="77777777" w:rsidR="00C87932" w:rsidRDefault="00C87932">
      <w:pPr>
        <w:pStyle w:val="RVfliesstext175nb"/>
        <w:widowControl/>
      </w:pPr>
      <w:r>
        <w:rPr>
          <w:rFonts w:cs="Arial"/>
        </w:rPr>
        <w:t>Die Teilnahme an den vom Ausw</w:t>
      </w:r>
      <w:r>
        <w:rPr>
          <w:rFonts w:cs="Arial"/>
        </w:rPr>
        <w:t>ä</w:t>
      </w:r>
      <w:r>
        <w:rPr>
          <w:rFonts w:cs="Arial"/>
        </w:rPr>
        <w:t>rtigen Amt eingerichteten Lehrg</w:t>
      </w:r>
      <w:r>
        <w:rPr>
          <w:rFonts w:cs="Arial"/>
        </w:rPr>
        <w:t>ä</w:t>
      </w:r>
      <w:r>
        <w:rPr>
          <w:rFonts w:cs="Arial"/>
        </w:rPr>
        <w:t>ngen steht unter Dienstunfallschutz.</w:t>
      </w:r>
    </w:p>
    <w:p w14:paraId="4A000A1D" w14:textId="77777777" w:rsidR="00C87932" w:rsidRDefault="00C87932">
      <w:pPr>
        <w:pStyle w:val="RVfliesstext175nb"/>
        <w:widowControl/>
        <w:rPr>
          <w:rFonts w:cs="Arial"/>
        </w:rPr>
      </w:pPr>
    </w:p>
    <w:sectPr w:rsidR="00000000">
      <w:footerReference w:type="even" r:id="rId13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C3DCC" w14:textId="77777777" w:rsidR="00C87932" w:rsidRDefault="00C87932">
      <w:pPr>
        <w:widowControl/>
      </w:pPr>
      <w:r>
        <w:rPr>
          <w:rFonts w:cs="Calibri"/>
        </w:rPr>
        <w:separator/>
      </w:r>
    </w:p>
  </w:endnote>
  <w:endnote w:type="continuationSeparator" w:id="0">
    <w:p w14:paraId="21182B68" w14:textId="77777777" w:rsidR="00C87932" w:rsidRDefault="00C87932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4B838" w14:textId="77777777" w:rsidR="00C87932" w:rsidRDefault="00C87932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A3258" w14:textId="77777777" w:rsidR="00C87932" w:rsidRDefault="00C8793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E612AF4" w14:textId="77777777" w:rsidR="00C87932" w:rsidRDefault="00C87932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507CD015" w14:textId="77777777" w:rsidR="00C87932" w:rsidRDefault="00C87932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B25A4"/>
    <w:rsid w:val="00A339FA"/>
    <w:rsid w:val="00BB25A4"/>
    <w:rsid w:val="00C8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BF40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sg=0&amp;menu=1&amp;bes_id=34825&amp;aufgehoben=N&amp;anw_nr=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bes_text?sg=0&amp;menu=1&amp;bes_id=34825&amp;aufgehoben=N&amp;anw_nr=2" TargetMode="External"/><Relationship Id="rId12" Type="http://schemas.openxmlformats.org/officeDocument/2006/relationships/hyperlink" Target="http://www.gesetze-im-internet.de/bbig_2005/BJNR0931100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ht.nrw.de/lmi/owa/br_bes_text?sg=0&amp;menu=1&amp;bes_id=34825&amp;aufgehoben=N&amp;anw_nr=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cht.nrw.de/lmi/owa/br_bes_text?sg=0&amp;menu=1&amp;bes_id=34825&amp;aufgehoben=N&amp;anw_n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bes_text?sg=0&amp;menu=1&amp;bes_id=34825&amp;aufgehoben=N&amp;anw_n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3453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2024-09-10T02:07:00Z</dcterms:created>
  <dcterms:modified xsi:type="dcterms:W3CDTF">2024-09-10T02:07:00Z</dcterms:modified>
</cp:coreProperties>
</file>